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ПРОЕКТ                                </w:t>
      </w:r>
    </w:p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                     </w:t>
      </w:r>
    </w:p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</w:t>
      </w:r>
    </w:p>
    <w:p w:rsidR="00341880" w:rsidRDefault="00341880" w:rsidP="003418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ВЕРХНЕЧЕБЕНЬКОВСКИЙ СЕЛЬСОВЕТ</w:t>
      </w:r>
    </w:p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САКМАРСКОГО РАЙОНА</w:t>
      </w:r>
    </w:p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341880" w:rsidRDefault="00341880" w:rsidP="0034188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41880" w:rsidRDefault="00341880" w:rsidP="00341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41880" w:rsidRDefault="00341880" w:rsidP="00341880">
      <w:pPr>
        <w:jc w:val="center"/>
        <w:rPr>
          <w:b/>
          <w:sz w:val="28"/>
          <w:szCs w:val="28"/>
        </w:rPr>
      </w:pPr>
    </w:p>
    <w:p w:rsidR="00341880" w:rsidRDefault="00341880" w:rsidP="003418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От ___________                                                              №  </w:t>
      </w:r>
      <w:proofErr w:type="gramStart"/>
      <w:r>
        <w:rPr>
          <w:b/>
          <w:sz w:val="28"/>
          <w:szCs w:val="28"/>
        </w:rPr>
        <w:t>-п</w:t>
      </w:r>
      <w:proofErr w:type="gramEnd"/>
      <w:r>
        <w:rPr>
          <w:b/>
          <w:sz w:val="28"/>
          <w:szCs w:val="28"/>
        </w:rPr>
        <w:t xml:space="preserve">                                                               </w:t>
      </w:r>
    </w:p>
    <w:p w:rsidR="00341880" w:rsidRDefault="00341880" w:rsidP="00341880">
      <w:pPr>
        <w:jc w:val="center"/>
        <w:rPr>
          <w:b/>
          <w:sz w:val="28"/>
          <w:szCs w:val="28"/>
        </w:rPr>
      </w:pPr>
    </w:p>
    <w:p w:rsidR="00341880" w:rsidRPr="00341880" w:rsidRDefault="00341880" w:rsidP="00341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88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341880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341880" w:rsidRPr="00341880" w:rsidRDefault="00341880" w:rsidP="00341880">
      <w:pPr>
        <w:pStyle w:val="af9"/>
        <w:jc w:val="center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341880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услуги </w:t>
      </w:r>
      <w:r w:rsidRPr="00341880">
        <w:rPr>
          <w:rFonts w:ascii="Times New Roman" w:eastAsia="Tinos" w:hAnsi="Times New Roman" w:cs="Times New Roman"/>
          <w:color w:val="000000"/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341880" w:rsidRDefault="00341880" w:rsidP="00341880">
      <w:pPr>
        <w:jc w:val="center"/>
        <w:rPr>
          <w:rFonts w:ascii="Tinos" w:eastAsia="Tinos" w:hAnsi="Tinos" w:cs="Tinos"/>
          <w:b/>
          <w:sz w:val="28"/>
        </w:rPr>
      </w:pPr>
    </w:p>
    <w:p w:rsidR="00341880" w:rsidRPr="00341880" w:rsidRDefault="00341880" w:rsidP="00341880">
      <w:pPr>
        <w:pStyle w:val="1"/>
        <w:ind w:right="-7" w:firstLine="709"/>
        <w:jc w:val="left"/>
        <w:rPr>
          <w:b w:val="0"/>
          <w:sz w:val="28"/>
          <w:szCs w:val="28"/>
        </w:rPr>
      </w:pPr>
      <w:r w:rsidRPr="00341880">
        <w:rPr>
          <w:b w:val="0"/>
        </w:rPr>
        <w:t xml:space="preserve"> </w:t>
      </w:r>
      <w:r w:rsidRPr="00341880">
        <w:rPr>
          <w:b w:val="0"/>
          <w:sz w:val="28"/>
          <w:szCs w:val="28"/>
        </w:rPr>
        <w:t xml:space="preserve">     Руководствуясь Федеральным законом от  20.03.2025 № 33-ФЗ «Об общих принципах организации местного самоуправления в  единой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341880">
        <w:rPr>
          <w:b w:val="0"/>
          <w:sz w:val="28"/>
          <w:szCs w:val="28"/>
        </w:rPr>
        <w:t>Сакмарского</w:t>
      </w:r>
      <w:proofErr w:type="spellEnd"/>
      <w:r w:rsidRPr="00341880">
        <w:rPr>
          <w:b w:val="0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 w:rsidRPr="00341880">
        <w:rPr>
          <w:b w:val="0"/>
          <w:sz w:val="28"/>
          <w:szCs w:val="28"/>
        </w:rPr>
        <w:t>Сакмарского</w:t>
      </w:r>
      <w:proofErr w:type="spellEnd"/>
      <w:r w:rsidRPr="00341880">
        <w:rPr>
          <w:b w:val="0"/>
          <w:sz w:val="28"/>
          <w:szCs w:val="28"/>
        </w:rPr>
        <w:t xml:space="preserve"> района Оренбургской области  ПОСТАНОВЛЯЕТ:</w:t>
      </w:r>
    </w:p>
    <w:p w:rsidR="00341880" w:rsidRDefault="00341880" w:rsidP="00341880">
      <w:pPr>
        <w:pStyle w:val="af9"/>
        <w:jc w:val="center"/>
        <w:outlineLvl w:val="0"/>
        <w:rPr>
          <w:rFonts w:ascii="Tinos" w:eastAsia="Tinos" w:hAnsi="Tinos" w:cs="Tinos"/>
          <w:b/>
          <w:sz w:val="28"/>
        </w:rPr>
      </w:pPr>
      <w:r>
        <w:rPr>
          <w:sz w:val="28"/>
          <w:szCs w:val="28"/>
        </w:rPr>
        <w:t xml:space="preserve">    1. Утвердить      Административный        регламент        предоставления муниципальной </w:t>
      </w:r>
      <w:r w:rsidRPr="00341880">
        <w:rPr>
          <w:sz w:val="28"/>
          <w:szCs w:val="28"/>
        </w:rPr>
        <w:t xml:space="preserve">услуги  </w:t>
      </w:r>
      <w:r w:rsidRPr="00341880"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341880" w:rsidRDefault="00341880" w:rsidP="00341880">
      <w:pPr>
        <w:ind w:firstLine="0"/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341880" w:rsidRDefault="00341880" w:rsidP="00341880">
      <w:pPr>
        <w:rPr>
          <w:sz w:val="28"/>
          <w:szCs w:val="28"/>
        </w:rPr>
      </w:pPr>
      <w:r>
        <w:rPr>
          <w:sz w:val="28"/>
          <w:szCs w:val="28"/>
        </w:rPr>
        <w:t xml:space="preserve">       2.  Признать утратившими силу:</w:t>
      </w:r>
    </w:p>
    <w:p w:rsidR="00341880" w:rsidRDefault="00C26033" w:rsidP="00341880">
      <w:pPr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341880">
        <w:rPr>
          <w:sz w:val="28"/>
          <w:szCs w:val="28"/>
        </w:rPr>
        <w:t xml:space="preserve"> постановление администрации муниципального образования Верхнечебеньковский сельсовет </w:t>
      </w:r>
      <w:proofErr w:type="spellStart"/>
      <w:r w:rsidR="00341880">
        <w:rPr>
          <w:sz w:val="28"/>
          <w:szCs w:val="28"/>
        </w:rPr>
        <w:t>Сакмарского</w:t>
      </w:r>
      <w:proofErr w:type="spellEnd"/>
      <w:r w:rsidR="0034188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Оренбургской области от 10.07</w:t>
      </w:r>
      <w:r w:rsidR="00341880">
        <w:rPr>
          <w:sz w:val="28"/>
          <w:szCs w:val="28"/>
        </w:rPr>
        <w:t>.2</w:t>
      </w:r>
      <w:r>
        <w:rPr>
          <w:sz w:val="28"/>
          <w:szCs w:val="28"/>
        </w:rPr>
        <w:t>025 № 5</w:t>
      </w:r>
      <w:r w:rsidR="00341880">
        <w:rPr>
          <w:sz w:val="28"/>
          <w:szCs w:val="28"/>
        </w:rPr>
        <w:t xml:space="preserve">3-п  «Предоставление 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торгов» на территории муниципального образования Верхнечебеньковский сельсовет </w:t>
      </w:r>
      <w:proofErr w:type="spellStart"/>
      <w:r w:rsidR="00341880">
        <w:rPr>
          <w:sz w:val="28"/>
          <w:szCs w:val="28"/>
        </w:rPr>
        <w:t>Сакмарского</w:t>
      </w:r>
      <w:proofErr w:type="spellEnd"/>
      <w:r w:rsidR="00341880">
        <w:rPr>
          <w:sz w:val="28"/>
          <w:szCs w:val="28"/>
        </w:rPr>
        <w:t xml:space="preserve"> района Оренбургской области»;</w:t>
      </w:r>
    </w:p>
    <w:p w:rsidR="00341880" w:rsidRDefault="00341880" w:rsidP="00341880">
      <w:pPr>
        <w:rPr>
          <w:sz w:val="28"/>
          <w:szCs w:val="28"/>
        </w:rPr>
      </w:pPr>
    </w:p>
    <w:p w:rsidR="00341880" w:rsidRDefault="00C26033" w:rsidP="0034188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880">
        <w:rPr>
          <w:sz w:val="28"/>
          <w:szCs w:val="28"/>
        </w:rPr>
        <w:t xml:space="preserve"> 3. </w:t>
      </w:r>
      <w:proofErr w:type="gramStart"/>
      <w:r w:rsidR="00341880">
        <w:rPr>
          <w:sz w:val="28"/>
          <w:szCs w:val="28"/>
        </w:rPr>
        <w:t>Контроль за</w:t>
      </w:r>
      <w:proofErr w:type="gramEnd"/>
      <w:r w:rsidR="0034188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1880" w:rsidRDefault="00DC71A8" w:rsidP="00DC71A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4</w:t>
      </w:r>
      <w:r w:rsidR="00341880">
        <w:rPr>
          <w:sz w:val="28"/>
          <w:szCs w:val="28"/>
        </w:rPr>
        <w:t xml:space="preserve">. </w:t>
      </w:r>
      <w:r w:rsidR="00341880">
        <w:rPr>
          <w:rFonts w:ascii="Times New Roman" w:hAnsi="Times New Roman"/>
          <w:sz w:val="28"/>
          <w:szCs w:val="28"/>
        </w:rPr>
        <w:t xml:space="preserve">Настоящее </w:t>
      </w:r>
      <w:r w:rsidR="00341880">
        <w:rPr>
          <w:rFonts w:ascii="Times New Roman" w:eastAsia="Times New Roman" w:hAnsi="Times New Roman"/>
          <w:sz w:val="28"/>
          <w:szCs w:val="28"/>
        </w:rPr>
        <w:t xml:space="preserve">постановление вступает в силу после опубликования в газете муниципального образования Верхнечебеньковский сельсовет </w:t>
      </w:r>
      <w:proofErr w:type="spellStart"/>
      <w:r w:rsidR="00341880">
        <w:rPr>
          <w:rFonts w:ascii="Times New Roman" w:eastAsia="Times New Roman" w:hAnsi="Times New Roman"/>
          <w:sz w:val="28"/>
          <w:szCs w:val="28"/>
        </w:rPr>
        <w:t>Сакмарского</w:t>
      </w:r>
      <w:proofErr w:type="spellEnd"/>
      <w:r w:rsidR="00341880"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 «Степные Просторы»</w:t>
      </w:r>
      <w:r w:rsidR="00341880">
        <w:rPr>
          <w:rFonts w:ascii="Times New Roman" w:hAnsi="Times New Roman"/>
          <w:sz w:val="28"/>
          <w:szCs w:val="28"/>
        </w:rPr>
        <w:t>.</w:t>
      </w:r>
    </w:p>
    <w:p w:rsidR="00341880" w:rsidRDefault="00341880" w:rsidP="00341880">
      <w:pPr>
        <w:rPr>
          <w:rFonts w:ascii="Times New Roman" w:hAnsi="Times New Roman" w:cs="Times New Roman"/>
          <w:sz w:val="28"/>
          <w:szCs w:val="28"/>
        </w:rPr>
      </w:pPr>
    </w:p>
    <w:p w:rsidR="00341880" w:rsidRDefault="00341880" w:rsidP="0034188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Р.Б. Рахматуллин</w:t>
      </w:r>
    </w:p>
    <w:p w:rsidR="00DC71A8" w:rsidRDefault="00DC71A8" w:rsidP="00341880">
      <w:pPr>
        <w:jc w:val="center"/>
        <w:rPr>
          <w:sz w:val="28"/>
          <w:szCs w:val="28"/>
        </w:rPr>
      </w:pPr>
    </w:p>
    <w:p w:rsidR="00101AA1" w:rsidRDefault="00C26033" w:rsidP="00C26033">
      <w:pPr>
        <w:pStyle w:val="af9"/>
        <w:jc w:val="right"/>
        <w:outlineLvl w:val="0"/>
        <w:rPr>
          <w:rFonts w:ascii="Tinos" w:eastAsia="Tinos" w:hAnsi="Tinos" w:cs="Tinos"/>
          <w:color w:val="000000"/>
          <w:sz w:val="28"/>
        </w:rPr>
      </w:pPr>
      <w:r w:rsidRPr="00C26033">
        <w:rPr>
          <w:rFonts w:ascii="Tinos" w:eastAsia="Tinos" w:hAnsi="Tinos" w:cs="Tinos"/>
          <w:color w:val="000000"/>
          <w:sz w:val="28"/>
        </w:rPr>
        <w:lastRenderedPageBreak/>
        <w:t xml:space="preserve">                   Приложение</w:t>
      </w:r>
      <w:r>
        <w:rPr>
          <w:rFonts w:ascii="Tinos" w:eastAsia="Tinos" w:hAnsi="Tinos" w:cs="Tinos"/>
          <w:color w:val="000000"/>
          <w:sz w:val="28"/>
        </w:rPr>
        <w:t xml:space="preserve"> к постановлению № __</w:t>
      </w:r>
    </w:p>
    <w:p w:rsidR="00C26033" w:rsidRPr="00C26033" w:rsidRDefault="00C26033" w:rsidP="00C26033">
      <w:pPr>
        <w:pStyle w:val="af9"/>
        <w:jc w:val="right"/>
        <w:outlineLvl w:val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от ________________</w:t>
      </w:r>
    </w:p>
    <w:p w:rsidR="00101AA1" w:rsidRDefault="00101AA1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1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bookmarkEnd w:id="1"/>
    <w:p w:rsidR="00101AA1" w:rsidRDefault="00101AA1">
      <w:pPr>
        <w:jc w:val="center"/>
        <w:rPr>
          <w:rFonts w:ascii="Tinos" w:eastAsia="Tinos" w:hAnsi="Tinos" w:cs="Tinos"/>
          <w:b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101AA1" w:rsidRDefault="00101AA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Предмет регулирования административного регламента</w:t>
      </w:r>
    </w:p>
    <w:p w:rsidR="00101AA1" w:rsidRDefault="00101AA1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</w:t>
      </w:r>
      <w:proofErr w:type="gramStart"/>
      <w:r>
        <w:rPr>
          <w:rFonts w:ascii="Tinos" w:eastAsia="Tinos" w:hAnsi="Tinos" w:cs="Tinos"/>
          <w:color w:val="000000"/>
          <w:sz w:val="28"/>
        </w:rPr>
        <w:t>Административный регламент предоставления муниципальной услуги  «Предоставление лесных участков, расположенных на землях населенных пунктов, в постоянное (бессрочное) пользование»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</w:t>
      </w:r>
      <w:r w:rsidR="00C26033">
        <w:rPr>
          <w:rFonts w:ascii="Tinos" w:eastAsia="Tinos" w:hAnsi="Tinos" w:cs="Tinos"/>
          <w:color w:val="000000"/>
          <w:sz w:val="28"/>
        </w:rPr>
        <w:t xml:space="preserve">авлению муниципальной услуги в администрации муниципального образования Верхнечебеньковский сельсовет </w:t>
      </w:r>
      <w:proofErr w:type="spellStart"/>
      <w:r w:rsidR="00C26033"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 w:rsidR="00C26033"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  <w:proofErr w:type="gramEnd"/>
    </w:p>
    <w:p w:rsidR="00101AA1" w:rsidRDefault="00F04B1D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>
        <w:fldChar w:fldCharType="begin"/>
      </w:r>
      <w:r>
        <w:instrText xml:space="preserve"> HYPERLINK "https://internet.garant.ru/" \l "/document/412265536/entry/1100" \h </w:instrText>
      </w:r>
      <w:r>
        <w:fldChar w:fldCharType="separate"/>
      </w:r>
      <w:r>
        <w:rPr>
          <w:rFonts w:ascii="Tinos" w:eastAsia="Tinos" w:hAnsi="Tinos" w:cs="Tinos"/>
          <w:color w:val="000000"/>
          <w:sz w:val="28"/>
        </w:rPr>
        <w:t xml:space="preserve">риложении </w:t>
      </w:r>
      <w:r>
        <w:rPr>
          <w:rFonts w:ascii="Tinos" w:eastAsia="Tinos" w:hAnsi="Tinos" w:cs="Tinos"/>
          <w:color w:val="000000"/>
          <w:sz w:val="28"/>
        </w:rPr>
        <w:fldChar w:fldCharType="end"/>
      </w:r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юридическим лица (далее – Заявитель).</w:t>
      </w:r>
    </w:p>
    <w:p w:rsidR="00101AA1" w:rsidRDefault="00F04B1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3. Услуга </w:t>
      </w:r>
      <w:r>
        <w:rPr>
          <w:rFonts w:ascii="Tinos" w:eastAsia="Tinos" w:hAnsi="Tinos" w:cs="Tinos"/>
          <w:color w:val="000000"/>
          <w:sz w:val="28"/>
          <w:highlight w:val="white"/>
        </w:rPr>
        <w:t>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101AA1" w:rsidRDefault="00101AA1">
      <w:pPr>
        <w:pStyle w:val="af9"/>
        <w:rPr>
          <w:rFonts w:ascii="TimesNewRoman" w:eastAsia="TimesNewRoman" w:hAnsi="TimesNewRoman" w:cs="TimesNewRoman"/>
        </w:rPr>
      </w:pPr>
    </w:p>
    <w:p w:rsidR="00101AA1" w:rsidRDefault="00101AA1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101AA1" w:rsidRDefault="00101AA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постоянное (бессрочное) пользование.</w:t>
      </w:r>
    </w:p>
    <w:bookmarkEnd w:id="4"/>
    <w:p w:rsidR="00101AA1" w:rsidRDefault="00101AA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101AA1" w:rsidRDefault="00101AA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01AA1" w:rsidRDefault="00F04B1D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</w:t>
      </w:r>
      <w:r w:rsidR="00EF794A">
        <w:rPr>
          <w:rFonts w:ascii="Tinos" w:eastAsia="Tinos" w:hAnsi="Tinos" w:cs="Tinos"/>
          <w:color w:val="000000"/>
          <w:sz w:val="28"/>
        </w:rPr>
        <w:t xml:space="preserve">яется уполномоченным органом – </w:t>
      </w:r>
      <w:proofErr w:type="spellStart"/>
      <w:r w:rsidR="00EF794A">
        <w:rPr>
          <w:rFonts w:ascii="Tinos" w:eastAsia="Tinos" w:hAnsi="Tinos" w:cs="Tinos"/>
          <w:color w:val="000000"/>
          <w:sz w:val="28"/>
        </w:rPr>
        <w:t>адмиинстрация</w:t>
      </w:r>
      <w:proofErr w:type="spellEnd"/>
      <w:r w:rsidR="00EF794A">
        <w:rPr>
          <w:rFonts w:ascii="Tinos" w:eastAsia="Tinos" w:hAnsi="Tinos" w:cs="Tinos"/>
          <w:color w:val="000000"/>
          <w:sz w:val="28"/>
        </w:rPr>
        <w:t xml:space="preserve"> муниципального образования Верхнечебеньковский сельсовет </w:t>
      </w:r>
      <w:proofErr w:type="spellStart"/>
      <w:r w:rsidR="00EF794A"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 w:rsidR="00EF794A"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101AA1" w:rsidRDefault="00F04B1D">
      <w:pPr>
        <w:pStyle w:val="af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</w:t>
      </w:r>
      <w:proofErr w:type="gramStart"/>
      <w:r>
        <w:rPr>
          <w:rFonts w:ascii="Tinos" w:eastAsia="Tinos" w:hAnsi="Tinos" w:cs="Tinos"/>
          <w:i/>
          <w:color w:val="000000"/>
        </w:rPr>
        <w:t>(указать наименование органа местного самоуправления субъекта РФ,</w:t>
      </w:r>
      <w:proofErr w:type="gramEnd"/>
    </w:p>
    <w:p w:rsidR="00101AA1" w:rsidRDefault="00F04B1D">
      <w:pPr>
        <w:pStyle w:val="af9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</w:t>
      </w:r>
      <w:proofErr w:type="gramStart"/>
      <w:r>
        <w:rPr>
          <w:rFonts w:ascii="Tinos" w:eastAsia="Tinos" w:hAnsi="Tinos" w:cs="Tinos"/>
          <w:i/>
          <w:color w:val="000000"/>
        </w:rPr>
        <w:t>предоставляющего</w:t>
      </w:r>
      <w:proofErr w:type="gramEnd"/>
      <w:r>
        <w:rPr>
          <w:rFonts w:ascii="Tinos" w:eastAsia="Tinos" w:hAnsi="Tinos" w:cs="Tinos"/>
          <w:i/>
          <w:color w:val="000000"/>
        </w:rPr>
        <w:t xml:space="preserve"> муниципальную услугу)</w:t>
      </w:r>
    </w:p>
    <w:p w:rsidR="00101AA1" w:rsidRDefault="00101AA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5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101AA1" w:rsidRDefault="00101AA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постоянное (бессрочное) пользование, результатом предоставления Услуги является: 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постоянное (бессрочное) пользование (согласно форме № 2, указанной в приложении к настоящему Административному регламенту);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4, указанной в приложении к настоящему Административному регламенту).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F04B1D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101AA1" w:rsidRDefault="00101AA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101AA1" w:rsidRDefault="00F0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101AA1" w:rsidRDefault="00101AA1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101AA1" w:rsidRDefault="00101AA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101AA1" w:rsidRDefault="00101AA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101AA1" w:rsidRDefault="00101AA1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ИС </w:t>
      </w:r>
      <w:proofErr w:type="gramStart"/>
      <w:r>
        <w:rPr>
          <w:rFonts w:ascii="Tinos" w:eastAsia="Tinos" w:hAnsi="Tinos" w:cs="Tinos"/>
          <w:color w:val="000000"/>
          <w:sz w:val="28"/>
        </w:rPr>
        <w:t>СИР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СОУ ОО.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101AA1" w:rsidRDefault="00F04B1D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16. Предусмотрена возможность предоставления Услуги в многофункциональном центре.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Заявление о предоставлении Услуги и документы, необходимые для предоставления Услуги, могут быть поданы в МФЦ.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nos" w:eastAsia="Tinos" w:hAnsi="Tinos" w:cs="Tinos"/>
          <w:b/>
          <w:color w:val="000000"/>
          <w:sz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101AA1" w:rsidRDefault="00101A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101AA1" w:rsidRDefault="00101AA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  <w:proofErr w:type="gramStart"/>
      <w:r>
        <w:rPr>
          <w:rFonts w:ascii="Tinos" w:eastAsia="Tinos" w:hAnsi="Tinos" w:cs="Tinos"/>
          <w:color w:val="000000"/>
          <w:sz w:val="28"/>
        </w:rPr>
        <w:t>постоянное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(бессрочное) пользование»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постоянное (бессрочное) пользование;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постоянное (бессрочное) пользование;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юридические лица, обратившиеся в уполномоченный орган с запросом (заявлением) о предоставлении муниципальной услуги;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м) ЕГРН – Единый государственный реестр недвижимости.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gramEnd"/>
      <w:r>
        <w:rPr>
          <w:rFonts w:ascii="Tinos" w:eastAsia="Tinos" w:hAnsi="Tinos" w:cs="Tinos"/>
          <w:color w:val="000000"/>
          <w:sz w:val="28"/>
        </w:rPr>
        <w:t>з) - представитель заявителя;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з)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101AA1" w:rsidRDefault="00101AA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101AA1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101AA1" w:rsidRDefault="00101AA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101AA1" w:rsidRDefault="00101AA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101AA1" w:rsidRDefault="00101AA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101AA1" w:rsidRDefault="00101AA1">
            <w:pPr>
              <w:pStyle w:val="af0"/>
              <w:ind w:firstLine="0"/>
              <w:jc w:val="center"/>
            </w:pPr>
          </w:p>
        </w:tc>
      </w:tr>
      <w:tr w:rsidR="00101AA1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101AA1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101AA1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01AA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Заявитель - юридические лица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101AA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101AA1" w:rsidRDefault="00101AA1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101AA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101AA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01AA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(при отсутствии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в документе графических изображений и (или) цветного текста);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графическую информацию</w:t>
            </w:r>
          </w:p>
        </w:tc>
      </w:tr>
      <w:tr w:rsidR="00101AA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101AA1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101AA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101AA1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101AA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01AA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  <w:tr w:rsidR="00101AA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  <w:tr w:rsidR="00101AA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  <w:tr w:rsidR="00101AA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  <w:tr w:rsidR="00101AA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8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  <w:tr w:rsidR="00101AA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9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2"/>
            </w:pPr>
          </w:p>
        </w:tc>
      </w:tr>
    </w:tbl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101AA1" w:rsidRDefault="00101AA1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101AA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01AA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101AA1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01AA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01AA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rPr>
          <w:rFonts w:ascii="TimesNewRoman" w:eastAsia="TimesNewRoman" w:hAnsi="TimesNewRoman" w:cs="TimesNewRoman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101AA1" w:rsidRDefault="00F04B1D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101AA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101AA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101AA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F0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101AA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01AA1" w:rsidRDefault="00101A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101AA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1AA1" w:rsidRDefault="00101AA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постоянное (бессрочное) пользование 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постоянное (бессрочное) пользование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101AA1" w:rsidRDefault="00101AA1">
      <w:pPr>
        <w:ind w:firstLine="8220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постоянное (бессрочное) пользование</w:t>
      </w: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F04B1D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постоянное (бессрочное) пользование».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постоянное (бессрочное) пользование» по следующим основаниям: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101AA1">
      <w:pPr>
        <w:ind w:firstLine="1134"/>
        <w:rPr>
          <w:rFonts w:ascii="TimesNewRoman" w:eastAsia="TimesNewRoman" w:hAnsi="TimesNewRoman" w:cs="TimesNewRoman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101AA1" w:rsidRDefault="00F0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01AA1" w:rsidRDefault="00101A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101AA1" w:rsidSect="00C26033">
      <w:headerReference w:type="default" r:id="rId20"/>
      <w:pgSz w:w="11900" w:h="16800"/>
      <w:pgMar w:top="709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D3" w:rsidRDefault="009758D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9758D3" w:rsidRDefault="009758D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TimesNewRomanPSMT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D3" w:rsidRDefault="009758D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9758D3" w:rsidRDefault="009758D3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AA1" w:rsidRDefault="00F04B1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DC71A8">
      <w:rPr>
        <w:noProof/>
      </w:rPr>
      <w:t>20</w:t>
    </w:r>
    <w:r>
      <w:fldChar w:fldCharType="end"/>
    </w:r>
  </w:p>
  <w:p w:rsidR="00101AA1" w:rsidRDefault="00101AA1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296"/>
    <w:multiLevelType w:val="hybridMultilevel"/>
    <w:tmpl w:val="C2A006CE"/>
    <w:lvl w:ilvl="0" w:tplc="7128AA9C">
      <w:start w:val="1"/>
      <w:numFmt w:val="bullet"/>
      <w:lvlText w:val="–"/>
      <w:lvlJc w:val="left"/>
      <w:pPr>
        <w:ind w:hanging="360"/>
      </w:pPr>
    </w:lvl>
    <w:lvl w:ilvl="1" w:tplc="B9AA26C4">
      <w:start w:val="1"/>
      <w:numFmt w:val="bullet"/>
      <w:lvlText w:val="o"/>
      <w:lvlJc w:val="left"/>
      <w:pPr>
        <w:ind w:hanging="360"/>
      </w:pPr>
    </w:lvl>
    <w:lvl w:ilvl="2" w:tplc="B6A216FC">
      <w:start w:val="1"/>
      <w:numFmt w:val="bullet"/>
      <w:lvlText w:val="§"/>
      <w:lvlJc w:val="left"/>
      <w:pPr>
        <w:ind w:hanging="360"/>
      </w:pPr>
    </w:lvl>
    <w:lvl w:ilvl="3" w:tplc="395E1CB4">
      <w:start w:val="1"/>
      <w:numFmt w:val="bullet"/>
      <w:lvlText w:val="·"/>
      <w:lvlJc w:val="left"/>
      <w:pPr>
        <w:ind w:hanging="360"/>
      </w:pPr>
    </w:lvl>
    <w:lvl w:ilvl="4" w:tplc="68BC7A5C">
      <w:start w:val="1"/>
      <w:numFmt w:val="bullet"/>
      <w:lvlText w:val="o"/>
      <w:lvlJc w:val="left"/>
      <w:pPr>
        <w:ind w:hanging="360"/>
      </w:pPr>
    </w:lvl>
    <w:lvl w:ilvl="5" w:tplc="B1908BA8">
      <w:start w:val="1"/>
      <w:numFmt w:val="bullet"/>
      <w:lvlText w:val="§"/>
      <w:lvlJc w:val="left"/>
      <w:pPr>
        <w:ind w:hanging="360"/>
      </w:pPr>
    </w:lvl>
    <w:lvl w:ilvl="6" w:tplc="358E0D78">
      <w:start w:val="1"/>
      <w:numFmt w:val="bullet"/>
      <w:lvlText w:val="·"/>
      <w:lvlJc w:val="left"/>
      <w:pPr>
        <w:ind w:hanging="360"/>
      </w:pPr>
    </w:lvl>
    <w:lvl w:ilvl="7" w:tplc="F72AB100">
      <w:start w:val="1"/>
      <w:numFmt w:val="bullet"/>
      <w:lvlText w:val="o"/>
      <w:lvlJc w:val="left"/>
      <w:pPr>
        <w:ind w:hanging="360"/>
      </w:pPr>
    </w:lvl>
    <w:lvl w:ilvl="8" w:tplc="FA08BD9A">
      <w:start w:val="1"/>
      <w:numFmt w:val="bullet"/>
      <w:lvlText w:val="§"/>
      <w:lvlJc w:val="left"/>
      <w:pPr>
        <w:ind w:hanging="360"/>
      </w:pPr>
    </w:lvl>
  </w:abstractNum>
  <w:abstractNum w:abstractNumId="1">
    <w:nsid w:val="64C40557"/>
    <w:multiLevelType w:val="hybridMultilevel"/>
    <w:tmpl w:val="39F61D70"/>
    <w:lvl w:ilvl="0" w:tplc="D3167556">
      <w:start w:val="1"/>
      <w:numFmt w:val="decimal"/>
      <w:lvlText w:val="%1."/>
      <w:lvlJc w:val="left"/>
      <w:pPr>
        <w:ind w:hanging="360"/>
      </w:pPr>
    </w:lvl>
    <w:lvl w:ilvl="1" w:tplc="04327478">
      <w:start w:val="1"/>
      <w:numFmt w:val="lowerLetter"/>
      <w:lvlText w:val="%2."/>
      <w:lvlJc w:val="left"/>
      <w:pPr>
        <w:ind w:hanging="360"/>
      </w:pPr>
    </w:lvl>
    <w:lvl w:ilvl="2" w:tplc="903AA578">
      <w:start w:val="1"/>
      <w:numFmt w:val="lowerRoman"/>
      <w:lvlText w:val="%3."/>
      <w:lvlJc w:val="right"/>
      <w:pPr>
        <w:ind w:hanging="180"/>
      </w:pPr>
    </w:lvl>
    <w:lvl w:ilvl="3" w:tplc="7DF46FA6">
      <w:start w:val="1"/>
      <w:numFmt w:val="decimal"/>
      <w:lvlText w:val="%4."/>
      <w:lvlJc w:val="left"/>
      <w:pPr>
        <w:ind w:hanging="360"/>
      </w:pPr>
    </w:lvl>
    <w:lvl w:ilvl="4" w:tplc="A89CF8DC">
      <w:start w:val="1"/>
      <w:numFmt w:val="lowerLetter"/>
      <w:lvlText w:val="%5."/>
      <w:lvlJc w:val="left"/>
      <w:pPr>
        <w:ind w:hanging="360"/>
      </w:pPr>
    </w:lvl>
    <w:lvl w:ilvl="5" w:tplc="955C5A24">
      <w:start w:val="1"/>
      <w:numFmt w:val="lowerRoman"/>
      <w:lvlText w:val="%6."/>
      <w:lvlJc w:val="right"/>
      <w:pPr>
        <w:ind w:hanging="180"/>
      </w:pPr>
    </w:lvl>
    <w:lvl w:ilvl="6" w:tplc="B38ED8A4">
      <w:start w:val="1"/>
      <w:numFmt w:val="decimal"/>
      <w:lvlText w:val="%7."/>
      <w:lvlJc w:val="left"/>
      <w:pPr>
        <w:ind w:hanging="360"/>
      </w:pPr>
    </w:lvl>
    <w:lvl w:ilvl="7" w:tplc="873A5244">
      <w:start w:val="1"/>
      <w:numFmt w:val="lowerLetter"/>
      <w:lvlText w:val="%8."/>
      <w:lvlJc w:val="left"/>
      <w:pPr>
        <w:ind w:hanging="360"/>
      </w:pPr>
    </w:lvl>
    <w:lvl w:ilvl="8" w:tplc="7EBC57C2">
      <w:start w:val="1"/>
      <w:numFmt w:val="lowerRoman"/>
      <w:lvlText w:val="%9."/>
      <w:lvlJc w:val="right"/>
      <w:pPr>
        <w:ind w:hanging="180"/>
      </w:pPr>
    </w:lvl>
  </w:abstractNum>
  <w:abstractNum w:abstractNumId="2">
    <w:nsid w:val="7AEF674A"/>
    <w:multiLevelType w:val="hybridMultilevel"/>
    <w:tmpl w:val="8640E62C"/>
    <w:lvl w:ilvl="0" w:tplc="B4964B4A">
      <w:start w:val="1"/>
      <w:numFmt w:val="bullet"/>
      <w:lvlText w:val="·"/>
      <w:lvlJc w:val="left"/>
      <w:pPr>
        <w:ind w:hanging="360"/>
      </w:pPr>
    </w:lvl>
    <w:lvl w:ilvl="1" w:tplc="DD20B1DA">
      <w:numFmt w:val="decimal"/>
      <w:lvlText w:val="o"/>
      <w:lvlJc w:val="left"/>
      <w:pPr>
        <w:ind w:left="0"/>
      </w:pPr>
    </w:lvl>
    <w:lvl w:ilvl="2" w:tplc="79867BD2">
      <w:numFmt w:val="decimal"/>
      <w:lvlText w:val="§"/>
      <w:lvlJc w:val="left"/>
      <w:pPr>
        <w:ind w:left="0"/>
      </w:pPr>
    </w:lvl>
    <w:lvl w:ilvl="3" w:tplc="B5DC6012">
      <w:numFmt w:val="decimal"/>
      <w:lvlText w:val="·"/>
      <w:lvlJc w:val="left"/>
      <w:pPr>
        <w:ind w:left="0"/>
      </w:pPr>
    </w:lvl>
    <w:lvl w:ilvl="4" w:tplc="20C69D1C">
      <w:numFmt w:val="decimal"/>
      <w:lvlText w:val="o"/>
      <w:lvlJc w:val="left"/>
      <w:pPr>
        <w:ind w:left="0"/>
      </w:pPr>
    </w:lvl>
    <w:lvl w:ilvl="5" w:tplc="C1DCA158">
      <w:numFmt w:val="decimal"/>
      <w:lvlText w:val="§"/>
      <w:lvlJc w:val="left"/>
      <w:pPr>
        <w:ind w:left="0"/>
      </w:pPr>
    </w:lvl>
    <w:lvl w:ilvl="6" w:tplc="1EDC1D46">
      <w:numFmt w:val="decimal"/>
      <w:lvlText w:val="·"/>
      <w:lvlJc w:val="left"/>
      <w:pPr>
        <w:ind w:left="0"/>
      </w:pPr>
    </w:lvl>
    <w:lvl w:ilvl="7" w:tplc="7EB428F4">
      <w:numFmt w:val="decimal"/>
      <w:lvlText w:val="o"/>
      <w:lvlJc w:val="left"/>
      <w:pPr>
        <w:ind w:left="0"/>
      </w:pPr>
    </w:lvl>
    <w:lvl w:ilvl="8" w:tplc="7700E06A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AA1"/>
    <w:rsid w:val="00101AA1"/>
    <w:rsid w:val="00341880"/>
    <w:rsid w:val="009758D3"/>
    <w:rsid w:val="00C26033"/>
    <w:rsid w:val="00DC71A8"/>
    <w:rsid w:val="00EF794A"/>
    <w:rsid w:val="00F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5</cp:revision>
  <cp:lastPrinted>2026-05-25T04:25:00Z</cp:lastPrinted>
  <dcterms:created xsi:type="dcterms:W3CDTF">2026-05-22T04:51:00Z</dcterms:created>
  <dcterms:modified xsi:type="dcterms:W3CDTF">2026-05-25T04:25:00Z</dcterms:modified>
</cp:coreProperties>
</file>