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ВЕРХНЕЧЕБЕНЬКОВСКИЙ СЕЛЬСОВЕТ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САКМАРСКОГО РАЙОНА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6B28B5" w:rsidRPr="0090405B" w:rsidRDefault="006B28B5" w:rsidP="006B28B5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color w:val="C0504D" w:themeColor="accent2"/>
          <w:sz w:val="28"/>
          <w:szCs w:val="28"/>
        </w:rPr>
        <w:tab/>
      </w: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CA60CF" w:rsidRPr="0090405B" w:rsidRDefault="006B28B5" w:rsidP="00CA60CF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90405B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CA60CF" w:rsidRPr="0090405B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6B28B5" w:rsidRPr="0090405B" w:rsidRDefault="006B28B5" w:rsidP="006B28B5">
      <w:pPr>
        <w:pStyle w:val="a3"/>
        <w:ind w:right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405B">
        <w:rPr>
          <w:rFonts w:ascii="Times New Roman" w:hAnsi="Times New Roman" w:cs="Times New Roman"/>
          <w:b/>
          <w:bCs/>
          <w:color w:val="C0504D" w:themeColor="accent2"/>
          <w:sz w:val="28"/>
          <w:szCs w:val="28"/>
        </w:rPr>
        <w:t>ПОЛОЖЕНИЕ О ТЕРРИТОРИАЛЬНОМ ПЛАНИРОВАНИИ</w:t>
      </w: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3B85" w:rsidRPr="0090405B" w:rsidRDefault="00AB3B8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3B85" w:rsidRPr="0090405B" w:rsidRDefault="00AB3B8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3B85" w:rsidRPr="0090405B" w:rsidRDefault="00AB3B8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8B5" w:rsidRPr="0090405B" w:rsidRDefault="006B28B5" w:rsidP="006B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A60CF" w:rsidRPr="0090405B" w:rsidRDefault="00CA60CF" w:rsidP="00CA6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 xml:space="preserve">Заказчик: </w:t>
      </w:r>
      <w:r w:rsidR="00743C0E" w:rsidRPr="0090405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Верхнечебеньковский сельсовет Сакмарского района Оренбургской области</w:t>
      </w:r>
    </w:p>
    <w:p w:rsidR="00D154C7" w:rsidRPr="0090405B" w:rsidRDefault="00743C0E" w:rsidP="00D15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>Договор</w:t>
      </w:r>
      <w:r w:rsidR="00D154C7" w:rsidRPr="0090405B">
        <w:rPr>
          <w:rFonts w:ascii="Times New Roman" w:hAnsi="Times New Roman" w:cs="Times New Roman"/>
          <w:sz w:val="28"/>
          <w:szCs w:val="28"/>
        </w:rPr>
        <w:t>:  №</w:t>
      </w:r>
      <w:r w:rsidRPr="0090405B">
        <w:rPr>
          <w:rFonts w:ascii="Times New Roman" w:hAnsi="Times New Roman" w:cs="Times New Roman"/>
          <w:sz w:val="28"/>
          <w:szCs w:val="28"/>
        </w:rPr>
        <w:t xml:space="preserve"> 23-5648-Д/0058</w:t>
      </w:r>
      <w:r w:rsidR="00D154C7" w:rsidRPr="0090405B">
        <w:rPr>
          <w:rFonts w:ascii="Times New Roman" w:hAnsi="Times New Roman" w:cs="Times New Roman"/>
          <w:sz w:val="28"/>
          <w:szCs w:val="28"/>
        </w:rPr>
        <w:t xml:space="preserve">  от </w:t>
      </w:r>
      <w:r w:rsidRPr="0090405B">
        <w:rPr>
          <w:rFonts w:ascii="Times New Roman" w:hAnsi="Times New Roman" w:cs="Times New Roman"/>
          <w:sz w:val="28"/>
          <w:szCs w:val="28"/>
        </w:rPr>
        <w:t>29.05.2023</w:t>
      </w:r>
      <w:r w:rsidR="00D154C7" w:rsidRPr="0090405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743C0E" w:rsidRPr="0090405B">
        <w:rPr>
          <w:rFonts w:ascii="Times New Roman" w:hAnsi="Times New Roman" w:cs="Times New Roman"/>
          <w:sz w:val="28"/>
          <w:szCs w:val="28"/>
        </w:rPr>
        <w:t>филиал ППК «Роскадастр» по Оренбургской области</w:t>
      </w:r>
    </w:p>
    <w:p w:rsidR="00D154C7" w:rsidRPr="0090405B" w:rsidRDefault="00D154C7" w:rsidP="00D15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 xml:space="preserve">Шифр: </w:t>
      </w:r>
      <w:r w:rsidR="00743C0E" w:rsidRPr="0090405B">
        <w:rPr>
          <w:rFonts w:ascii="Times New Roman" w:hAnsi="Times New Roman" w:cs="Times New Roman"/>
          <w:sz w:val="28"/>
          <w:szCs w:val="28"/>
        </w:rPr>
        <w:t>__</w:t>
      </w:r>
    </w:p>
    <w:p w:rsidR="00AB3B85" w:rsidRPr="0090405B" w:rsidRDefault="00AB3B85" w:rsidP="00AB3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3B85" w:rsidRPr="0090405B" w:rsidRDefault="00AB3B85" w:rsidP="00AB3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3B85" w:rsidRPr="0090405B" w:rsidRDefault="00AB3B85" w:rsidP="00AB3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3B85" w:rsidRPr="0090405B" w:rsidRDefault="00AB3B85" w:rsidP="00AB3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3B85" w:rsidRPr="0090405B" w:rsidRDefault="00AB3B85" w:rsidP="00AB3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B5711" w:rsidRPr="0090405B" w:rsidRDefault="005B5711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711" w:rsidRPr="0090405B" w:rsidRDefault="005B5711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711" w:rsidRPr="0090405B" w:rsidRDefault="005B5711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C0E" w:rsidRPr="0090405B" w:rsidRDefault="00743C0E" w:rsidP="0090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>Филиал ППК «Роскадастр»</w:t>
      </w:r>
    </w:p>
    <w:p w:rsidR="00743C0E" w:rsidRPr="0090405B" w:rsidRDefault="00743C0E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 xml:space="preserve"> по Оренбургской области </w:t>
      </w:r>
    </w:p>
    <w:p w:rsidR="00AB3B85" w:rsidRPr="0090405B" w:rsidRDefault="00AB3B85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>Ор</w:t>
      </w:r>
      <w:r w:rsidR="00743C0E" w:rsidRPr="0090405B">
        <w:rPr>
          <w:rFonts w:ascii="Times New Roman" w:hAnsi="Times New Roman" w:cs="Times New Roman"/>
          <w:sz w:val="28"/>
          <w:szCs w:val="28"/>
        </w:rPr>
        <w:t>енбург</w:t>
      </w:r>
      <w:r w:rsidRPr="0090405B">
        <w:rPr>
          <w:rFonts w:ascii="Times New Roman" w:hAnsi="Times New Roman" w:cs="Times New Roman"/>
          <w:sz w:val="28"/>
          <w:szCs w:val="28"/>
        </w:rPr>
        <w:t xml:space="preserve"> ● 20</w:t>
      </w:r>
      <w:r w:rsidR="00743C0E" w:rsidRPr="0090405B">
        <w:rPr>
          <w:rFonts w:ascii="Times New Roman" w:hAnsi="Times New Roman" w:cs="Times New Roman"/>
          <w:sz w:val="28"/>
          <w:szCs w:val="28"/>
        </w:rPr>
        <w:t>23</w:t>
      </w:r>
    </w:p>
    <w:p w:rsidR="00AB3B85" w:rsidRPr="0090405B" w:rsidRDefault="00AB3B85" w:rsidP="00AB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</w:p>
    <w:p w:rsidR="00743C0E" w:rsidRPr="0090405B" w:rsidRDefault="00743C0E" w:rsidP="00743C0E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05B">
        <w:rPr>
          <w:rFonts w:ascii="Times New Roman" w:hAnsi="Times New Roman" w:cs="Times New Roman"/>
          <w:b/>
          <w:color w:val="000000"/>
          <w:sz w:val="28"/>
          <w:szCs w:val="28"/>
        </w:rPr>
        <w:t>СОСТАВ ДОКУМЕНТА</w:t>
      </w:r>
    </w:p>
    <w:p w:rsidR="00743C0E" w:rsidRPr="0090405B" w:rsidRDefault="00743C0E" w:rsidP="00743C0E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743C0E" w:rsidRPr="0090405B" w:rsidTr="00A42D7A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ТОМ 1</w:t>
            </w:r>
          </w:p>
          <w:p w:rsidR="00743C0E" w:rsidRPr="0090405B" w:rsidRDefault="00743C0E" w:rsidP="00A42D7A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О ТЕРРИТОРИАЛЬНОМ ПЛАНИРОВАНИИ</w:t>
            </w:r>
          </w:p>
        </w:tc>
      </w:tr>
      <w:tr w:rsidR="00743C0E" w:rsidRPr="0090405B" w:rsidTr="00A42D7A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743C0E" w:rsidRPr="0090405B" w:rsidTr="00A42D7A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743C0E" w:rsidRPr="0090405B" w:rsidTr="00A42D7A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ТОМ 2</w:t>
            </w:r>
          </w:p>
          <w:p w:rsidR="00743C0E" w:rsidRPr="0090405B" w:rsidRDefault="00743C0E" w:rsidP="00A42D7A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ПО ОБОСНОВАНИЮ</w:t>
            </w:r>
          </w:p>
        </w:tc>
      </w:tr>
      <w:tr w:rsidR="00743C0E" w:rsidRPr="0090405B" w:rsidTr="00A42D7A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743C0E" w:rsidRPr="0090405B" w:rsidTr="00A42D7A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9040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C0E" w:rsidRPr="0090405B" w:rsidRDefault="00743C0E" w:rsidP="00A42D7A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743C0E" w:rsidRPr="0090405B" w:rsidRDefault="00743C0E" w:rsidP="00743C0E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3C0E" w:rsidRPr="0090405B" w:rsidRDefault="00743C0E" w:rsidP="00743C0E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743C0E" w:rsidRPr="0090405B" w:rsidRDefault="00743C0E" w:rsidP="00743C0E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«MapInfo» в составе электронных графических слоёв и связанной с ними атрибутивной базы данных.</w:t>
      </w:r>
    </w:p>
    <w:p w:rsidR="00743C0E" w:rsidRPr="0090405B" w:rsidRDefault="00743C0E" w:rsidP="00743C0E">
      <w:pPr>
        <w:pStyle w:val="a3"/>
        <w:spacing w:after="240"/>
        <w:ind w:firstLine="720"/>
        <w:rPr>
          <w:rFonts w:ascii="Times New Roman" w:hAnsi="Times New Roman" w:cs="Times New Roman"/>
          <w:sz w:val="28"/>
          <w:szCs w:val="28"/>
        </w:rPr>
      </w:pPr>
      <w:r w:rsidRPr="0090405B">
        <w:rPr>
          <w:rFonts w:ascii="Times New Roman" w:hAnsi="Times New Roman" w:cs="Times New Roman"/>
          <w:sz w:val="28"/>
          <w:szCs w:val="28"/>
        </w:rPr>
        <w:t xml:space="preserve">Работа выполнена специалистами филиала ППК «Роскадастр» по Оренбургской области.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43C0E" w:rsidRPr="0090405B" w:rsidTr="00A42D7A">
        <w:tc>
          <w:tcPr>
            <w:tcW w:w="4785" w:type="dxa"/>
          </w:tcPr>
          <w:p w:rsidR="00743C0E" w:rsidRPr="0090405B" w:rsidRDefault="00743C0E" w:rsidP="00A42D7A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4786" w:type="dxa"/>
          </w:tcPr>
          <w:p w:rsidR="00743C0E" w:rsidRPr="0090405B" w:rsidRDefault="00743C0E" w:rsidP="00A42D7A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>А.С. Сухомлинов</w:t>
            </w:r>
          </w:p>
        </w:tc>
      </w:tr>
      <w:tr w:rsidR="00743C0E" w:rsidRPr="0090405B" w:rsidTr="00A42D7A">
        <w:trPr>
          <w:trHeight w:val="499"/>
        </w:trPr>
        <w:tc>
          <w:tcPr>
            <w:tcW w:w="4785" w:type="dxa"/>
          </w:tcPr>
          <w:p w:rsidR="00743C0E" w:rsidRPr="0090405B" w:rsidRDefault="00743C0E" w:rsidP="00A42D7A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Инженер </w:t>
            </w:r>
            <w:r w:rsidRPr="0090405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II </w:t>
            </w: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>категории</w:t>
            </w:r>
          </w:p>
        </w:tc>
        <w:tc>
          <w:tcPr>
            <w:tcW w:w="4786" w:type="dxa"/>
          </w:tcPr>
          <w:p w:rsidR="00743C0E" w:rsidRPr="0090405B" w:rsidRDefault="00743C0E" w:rsidP="00A42D7A">
            <w:pPr>
              <w:tabs>
                <w:tab w:val="left" w:pos="7513"/>
              </w:tabs>
              <w:spacing w:before="20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>М.С. Попова</w:t>
            </w:r>
          </w:p>
        </w:tc>
      </w:tr>
      <w:tr w:rsidR="00EC2CC9" w:rsidRPr="0090405B" w:rsidTr="00A42D7A">
        <w:trPr>
          <w:trHeight w:val="499"/>
        </w:trPr>
        <w:tc>
          <w:tcPr>
            <w:tcW w:w="4785" w:type="dxa"/>
          </w:tcPr>
          <w:p w:rsidR="00EC2CC9" w:rsidRPr="004A27DD" w:rsidRDefault="004A27DD" w:rsidP="00A42D7A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Техник</w:t>
            </w:r>
          </w:p>
        </w:tc>
        <w:tc>
          <w:tcPr>
            <w:tcW w:w="4786" w:type="dxa"/>
          </w:tcPr>
          <w:p w:rsidR="00EC2CC9" w:rsidRPr="0090405B" w:rsidRDefault="00EC2CC9" w:rsidP="00A42D7A">
            <w:pPr>
              <w:tabs>
                <w:tab w:val="left" w:pos="7513"/>
              </w:tabs>
              <w:spacing w:before="20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05B">
              <w:rPr>
                <w:rFonts w:ascii="Times New Roman" w:hAnsi="Times New Roman"/>
                <w:color w:val="000000"/>
                <w:sz w:val="28"/>
                <w:szCs w:val="28"/>
              </w:rPr>
              <w:t>Т.В. Мучкаева</w:t>
            </w:r>
          </w:p>
        </w:tc>
      </w:tr>
    </w:tbl>
    <w:p w:rsidR="00824B84" w:rsidRPr="0090405B" w:rsidRDefault="00824B84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743C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046A2" w:rsidRPr="0090405B" w:rsidRDefault="00F046A2" w:rsidP="0082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B84" w:rsidRPr="0090405B" w:rsidRDefault="00824B84" w:rsidP="00743C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943634" w:themeColor="accent2" w:themeShade="BF"/>
          <w:sz w:val="28"/>
          <w:szCs w:val="28"/>
        </w:rPr>
      </w:pPr>
      <w:r w:rsidRPr="0090405B">
        <w:rPr>
          <w:rFonts w:ascii="Times New Roman" w:hAnsi="Times New Roman" w:cs="Times New Roman"/>
          <w:b/>
          <w:bCs/>
          <w:color w:val="943634" w:themeColor="accent2" w:themeShade="BF"/>
          <w:sz w:val="28"/>
          <w:szCs w:val="28"/>
        </w:rPr>
        <w:lastRenderedPageBreak/>
        <w:t xml:space="preserve">Часть </w:t>
      </w:r>
      <w:r w:rsidR="005B5711" w:rsidRPr="0090405B">
        <w:rPr>
          <w:rFonts w:ascii="Times New Roman" w:hAnsi="Times New Roman" w:cs="Times New Roman"/>
          <w:b/>
          <w:bCs/>
          <w:color w:val="943634" w:themeColor="accent2" w:themeShade="BF"/>
          <w:sz w:val="28"/>
          <w:szCs w:val="28"/>
        </w:rPr>
        <w:t>Б</w:t>
      </w:r>
      <w:r w:rsidRPr="0090405B">
        <w:rPr>
          <w:rFonts w:ascii="Times New Roman" w:hAnsi="Times New Roman" w:cs="Times New Roman"/>
          <w:b/>
          <w:bCs/>
          <w:color w:val="943634" w:themeColor="accent2" w:themeShade="BF"/>
          <w:sz w:val="28"/>
          <w:szCs w:val="28"/>
        </w:rPr>
        <w:t xml:space="preserve"> графические материалы </w:t>
      </w:r>
    </w:p>
    <w:p w:rsidR="00CA60CF" w:rsidRPr="0090405B" w:rsidRDefault="00CA60CF" w:rsidP="00CA60C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743C0E" w:rsidRPr="0090405B" w:rsidTr="00A42D7A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A42D7A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A42D7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A42D7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743C0E" w:rsidRPr="0090405B" w:rsidTr="00A42D7A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5E2351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C0E" w:rsidRPr="0090405B" w:rsidRDefault="00743C0E" w:rsidP="00743C0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Карта функциональных </w:t>
            </w:r>
            <w:r w:rsidR="00141376">
              <w:rPr>
                <w:rFonts w:ascii="Times New Roman" w:hAnsi="Times New Roman" w:cs="Times New Roman"/>
                <w:sz w:val="28"/>
                <w:szCs w:val="28"/>
              </w:rPr>
              <w:t xml:space="preserve">зон </w:t>
            </w: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Верхнечебеньковский сельсовет Сакмарского района Оренбургской области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C0E" w:rsidRPr="0090405B" w:rsidRDefault="00743C0E" w:rsidP="00282C4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М 1: 5 000, М 1: </w:t>
            </w:r>
            <w:r w:rsidR="00282C4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43C0E" w:rsidRPr="0090405B" w:rsidTr="00A42D7A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5E2351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C0E" w:rsidRPr="0090405B" w:rsidRDefault="00743C0E" w:rsidP="00A42D7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Карта </w:t>
            </w:r>
            <w:r w:rsidR="002C535B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планируемого </w:t>
            </w: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>размещения объектов местного значения муниципального образования Верхнечебеньковский  сельсовет Сакмарского района Оренбургской области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C0E" w:rsidRPr="0090405B" w:rsidRDefault="00743C0E" w:rsidP="00282C4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М 1: 5 000, М 1: </w:t>
            </w:r>
            <w:r w:rsidR="00282C4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43C0E" w:rsidRPr="0090405B" w:rsidTr="00A42D7A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5E2351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A42D7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>Карта границ населенных пунктов муниципального образования Верхнечебеньковский  сельсовет Сакмарского района Оренбургской области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0E" w:rsidRPr="0090405B" w:rsidRDefault="00743C0E" w:rsidP="00282C4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М 1: </w:t>
            </w:r>
            <w:r w:rsidR="00282C4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0405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</w:tbl>
    <w:p w:rsidR="00667436" w:rsidRPr="0090405B" w:rsidRDefault="00667436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dt>
      <w:sdtPr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id w:val="-128773677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lang w:eastAsia="ru-RU"/>
        </w:rPr>
      </w:sdtEndPr>
      <w:sdtContent>
        <w:p w:rsidR="00A42D7A" w:rsidRPr="002C535B" w:rsidRDefault="00A42D7A" w:rsidP="00A42D7A">
          <w:pPr>
            <w:pStyle w:val="afc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2C535B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2C535B" w:rsidRPr="002C535B" w:rsidRDefault="00A42D7A">
          <w:pPr>
            <w:pStyle w:val="21"/>
            <w:rPr>
              <w:rFonts w:eastAsiaTheme="minorEastAsia"/>
              <w:b w:val="0"/>
              <w:color w:val="auto"/>
            </w:rPr>
          </w:pPr>
          <w:r w:rsidRPr="002C535B">
            <w:rPr>
              <w:b w:val="0"/>
              <w:color w:val="auto"/>
            </w:rPr>
            <w:fldChar w:fldCharType="begin"/>
          </w:r>
          <w:r w:rsidRPr="002C535B">
            <w:rPr>
              <w:b w:val="0"/>
              <w:color w:val="auto"/>
            </w:rPr>
            <w:instrText xml:space="preserve"> TOC \o "1-3" \h \z \u </w:instrText>
          </w:r>
          <w:r w:rsidRPr="002C535B">
            <w:rPr>
              <w:b w:val="0"/>
              <w:color w:val="auto"/>
            </w:rPr>
            <w:fldChar w:fldCharType="separate"/>
          </w:r>
          <w:hyperlink w:anchor="_Toc153266888" w:history="1">
            <w:r w:rsidR="002C535B" w:rsidRPr="002C535B">
              <w:rPr>
                <w:rStyle w:val="af1"/>
                <w:b w:val="0"/>
                <w:color w:val="auto"/>
              </w:rPr>
              <w:t>Цели и задачи</w:t>
            </w:r>
            <w:r w:rsidR="002C535B" w:rsidRPr="002C535B">
              <w:rPr>
                <w:b w:val="0"/>
                <w:webHidden/>
                <w:color w:val="auto"/>
              </w:rPr>
              <w:tab/>
            </w:r>
            <w:r w:rsidR="002C535B" w:rsidRPr="002C535B">
              <w:rPr>
                <w:b w:val="0"/>
                <w:webHidden/>
                <w:color w:val="auto"/>
              </w:rPr>
              <w:fldChar w:fldCharType="begin"/>
            </w:r>
            <w:r w:rsidR="002C535B" w:rsidRPr="002C535B">
              <w:rPr>
                <w:b w:val="0"/>
                <w:webHidden/>
                <w:color w:val="auto"/>
              </w:rPr>
              <w:instrText xml:space="preserve"> PAGEREF _Toc153266888 \h </w:instrText>
            </w:r>
            <w:r w:rsidR="002C535B" w:rsidRPr="002C535B">
              <w:rPr>
                <w:b w:val="0"/>
                <w:webHidden/>
                <w:color w:val="auto"/>
              </w:rPr>
            </w:r>
            <w:r w:rsidR="002C535B" w:rsidRPr="002C535B">
              <w:rPr>
                <w:b w:val="0"/>
                <w:webHidden/>
                <w:color w:val="auto"/>
              </w:rPr>
              <w:fldChar w:fldCharType="separate"/>
            </w:r>
            <w:r w:rsidR="002C535B" w:rsidRPr="002C535B">
              <w:rPr>
                <w:b w:val="0"/>
                <w:webHidden/>
                <w:color w:val="auto"/>
              </w:rPr>
              <w:t>4</w:t>
            </w:r>
            <w:r w:rsidR="002C535B" w:rsidRPr="002C535B">
              <w:rPr>
                <w:b w:val="0"/>
                <w:webHidden/>
                <w:color w:val="auto"/>
              </w:rPr>
              <w:fldChar w:fldCharType="end"/>
            </w:r>
          </w:hyperlink>
        </w:p>
        <w:p w:rsidR="002C535B" w:rsidRPr="002C535B" w:rsidRDefault="002C535B">
          <w:pPr>
            <w:pStyle w:val="21"/>
            <w:tabs>
              <w:tab w:val="left" w:pos="660"/>
            </w:tabs>
            <w:rPr>
              <w:rFonts w:eastAsiaTheme="minorEastAsia"/>
              <w:b w:val="0"/>
              <w:color w:val="auto"/>
            </w:rPr>
          </w:pPr>
          <w:hyperlink w:anchor="_Toc153266889" w:history="1">
            <w:r w:rsidRPr="002C535B">
              <w:rPr>
                <w:rStyle w:val="af1"/>
                <w:b w:val="0"/>
                <w:color w:val="auto"/>
              </w:rPr>
              <w:t>1.</w:t>
            </w:r>
            <w:r w:rsidRPr="002C535B">
              <w:rPr>
                <w:rFonts w:eastAsiaTheme="minorEastAsia"/>
                <w:b w:val="0"/>
                <w:color w:val="auto"/>
              </w:rPr>
              <w:tab/>
            </w:r>
            <w:r w:rsidRPr="002C535B">
              <w:rPr>
                <w:rStyle w:val="af1"/>
                <w:b w:val="0"/>
                <w:color w:val="auto"/>
                <w:lang w:bidi="ru-RU"/>
              </w:rPr>
              <w:t>Общие положения.</w:t>
            </w:r>
            <w:r w:rsidRPr="002C535B">
              <w:rPr>
                <w:b w:val="0"/>
                <w:webHidden/>
                <w:color w:val="auto"/>
              </w:rPr>
              <w:tab/>
            </w:r>
            <w:r w:rsidRPr="002C535B">
              <w:rPr>
                <w:b w:val="0"/>
                <w:webHidden/>
                <w:color w:val="auto"/>
              </w:rPr>
              <w:fldChar w:fldCharType="begin"/>
            </w:r>
            <w:r w:rsidRPr="002C535B">
              <w:rPr>
                <w:b w:val="0"/>
                <w:webHidden/>
                <w:color w:val="auto"/>
              </w:rPr>
              <w:instrText xml:space="preserve"> PAGEREF _Toc153266889 \h </w:instrText>
            </w:r>
            <w:r w:rsidRPr="002C535B">
              <w:rPr>
                <w:b w:val="0"/>
                <w:webHidden/>
                <w:color w:val="auto"/>
              </w:rPr>
            </w:r>
            <w:r w:rsidRPr="002C535B">
              <w:rPr>
                <w:b w:val="0"/>
                <w:webHidden/>
                <w:color w:val="auto"/>
              </w:rPr>
              <w:fldChar w:fldCharType="separate"/>
            </w:r>
            <w:r w:rsidRPr="002C535B">
              <w:rPr>
                <w:b w:val="0"/>
                <w:webHidden/>
                <w:color w:val="auto"/>
              </w:rPr>
              <w:t>6</w:t>
            </w:r>
            <w:r w:rsidRPr="002C535B">
              <w:rPr>
                <w:b w:val="0"/>
                <w:webHidden/>
                <w:color w:val="auto"/>
              </w:rPr>
              <w:fldChar w:fldCharType="end"/>
            </w:r>
          </w:hyperlink>
        </w:p>
        <w:p w:rsidR="002C535B" w:rsidRPr="002C535B" w:rsidRDefault="002C535B">
          <w:pPr>
            <w:pStyle w:val="31"/>
            <w:rPr>
              <w:rFonts w:eastAsiaTheme="minorEastAsia"/>
              <w:b w:val="0"/>
              <w:color w:val="auto"/>
              <w:sz w:val="28"/>
              <w:szCs w:val="28"/>
            </w:rPr>
          </w:pPr>
          <w:hyperlink w:anchor="_Toc153266890" w:history="1">
            <w:r w:rsidRPr="002C535B">
              <w:rPr>
                <w:rStyle w:val="af1"/>
                <w:b w:val="0"/>
                <w:color w:val="auto"/>
                <w:sz w:val="28"/>
                <w:szCs w:val="28"/>
              </w:rPr>
              <w:t>1.1 Границы МО Верхнечебеньковский сельсовет</w:t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tab/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fldChar w:fldCharType="begin"/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instrText xml:space="preserve"> PAGEREF _Toc153266890 \h </w:instrText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fldChar w:fldCharType="separate"/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t>6</w:t>
            </w:r>
            <w:r w:rsidRPr="002C535B">
              <w:rPr>
                <w:b w:val="0"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:rsidR="002C535B" w:rsidRPr="002C535B" w:rsidRDefault="002C535B">
          <w:pPr>
            <w:pStyle w:val="21"/>
            <w:rPr>
              <w:rFonts w:eastAsiaTheme="minorEastAsia"/>
              <w:b w:val="0"/>
              <w:color w:val="auto"/>
            </w:rPr>
          </w:pPr>
          <w:hyperlink w:anchor="_Toc153266891" w:history="1">
            <w:r w:rsidRPr="002C535B">
              <w:rPr>
                <w:rStyle w:val="af1"/>
                <w:b w:val="0"/>
                <w:color w:val="auto"/>
              </w:rPr>
              <w:t>2 Сведения о видах, назначении и наименованиях планируемых для размещения объектов регионального значения, их основные характеристики, их местоположение, а также характеристики зон с особыми условиями использования территорий</w:t>
            </w:r>
            <w:r w:rsidRPr="002C535B">
              <w:rPr>
                <w:b w:val="0"/>
                <w:webHidden/>
                <w:color w:val="auto"/>
              </w:rPr>
              <w:tab/>
            </w:r>
            <w:r w:rsidRPr="002C535B">
              <w:rPr>
                <w:b w:val="0"/>
                <w:webHidden/>
                <w:color w:val="auto"/>
              </w:rPr>
              <w:fldChar w:fldCharType="begin"/>
            </w:r>
            <w:r w:rsidRPr="002C535B">
              <w:rPr>
                <w:b w:val="0"/>
                <w:webHidden/>
                <w:color w:val="auto"/>
              </w:rPr>
              <w:instrText xml:space="preserve"> PAGEREF _Toc153266891 \h </w:instrText>
            </w:r>
            <w:r w:rsidRPr="002C535B">
              <w:rPr>
                <w:b w:val="0"/>
                <w:webHidden/>
                <w:color w:val="auto"/>
              </w:rPr>
            </w:r>
            <w:r w:rsidRPr="002C535B">
              <w:rPr>
                <w:b w:val="0"/>
                <w:webHidden/>
                <w:color w:val="auto"/>
              </w:rPr>
              <w:fldChar w:fldCharType="separate"/>
            </w:r>
            <w:r w:rsidRPr="002C535B">
              <w:rPr>
                <w:b w:val="0"/>
                <w:webHidden/>
                <w:color w:val="auto"/>
              </w:rPr>
              <w:t>8</w:t>
            </w:r>
            <w:r w:rsidRPr="002C535B">
              <w:rPr>
                <w:b w:val="0"/>
                <w:webHidden/>
                <w:color w:val="auto"/>
              </w:rPr>
              <w:fldChar w:fldCharType="end"/>
            </w:r>
          </w:hyperlink>
        </w:p>
        <w:p w:rsidR="002C535B" w:rsidRPr="002C535B" w:rsidRDefault="002C535B">
          <w:pPr>
            <w:pStyle w:val="21"/>
            <w:rPr>
              <w:rFonts w:eastAsiaTheme="minorEastAsia"/>
              <w:b w:val="0"/>
              <w:color w:val="auto"/>
            </w:rPr>
          </w:pPr>
          <w:hyperlink w:anchor="_Toc153266892" w:history="1">
            <w:r w:rsidRPr="002C535B">
              <w:rPr>
                <w:rStyle w:val="af1"/>
                <w:b w:val="0"/>
                <w:color w:val="auto"/>
              </w:rPr>
              <w:t>2.1 Функциональные зоны</w:t>
            </w:r>
            <w:r w:rsidRPr="002C535B">
              <w:rPr>
                <w:b w:val="0"/>
                <w:webHidden/>
                <w:color w:val="auto"/>
              </w:rPr>
              <w:tab/>
            </w:r>
            <w:r w:rsidRPr="002C535B">
              <w:rPr>
                <w:b w:val="0"/>
                <w:webHidden/>
                <w:color w:val="auto"/>
              </w:rPr>
              <w:fldChar w:fldCharType="begin"/>
            </w:r>
            <w:r w:rsidRPr="002C535B">
              <w:rPr>
                <w:b w:val="0"/>
                <w:webHidden/>
                <w:color w:val="auto"/>
              </w:rPr>
              <w:instrText xml:space="preserve"> PAGEREF _Toc153266892 \h </w:instrText>
            </w:r>
            <w:r w:rsidRPr="002C535B">
              <w:rPr>
                <w:b w:val="0"/>
                <w:webHidden/>
                <w:color w:val="auto"/>
              </w:rPr>
            </w:r>
            <w:r w:rsidRPr="002C535B">
              <w:rPr>
                <w:b w:val="0"/>
                <w:webHidden/>
                <w:color w:val="auto"/>
              </w:rPr>
              <w:fldChar w:fldCharType="separate"/>
            </w:r>
            <w:r w:rsidRPr="002C535B">
              <w:rPr>
                <w:b w:val="0"/>
                <w:webHidden/>
                <w:color w:val="auto"/>
              </w:rPr>
              <w:t>8</w:t>
            </w:r>
            <w:r w:rsidRPr="002C535B">
              <w:rPr>
                <w:b w:val="0"/>
                <w:webHidden/>
                <w:color w:val="auto"/>
              </w:rPr>
              <w:fldChar w:fldCharType="end"/>
            </w:r>
          </w:hyperlink>
        </w:p>
        <w:p w:rsidR="002C535B" w:rsidRPr="002C535B" w:rsidRDefault="002C535B">
          <w:pPr>
            <w:pStyle w:val="21"/>
            <w:rPr>
              <w:rFonts w:eastAsiaTheme="minorEastAsia"/>
              <w:b w:val="0"/>
              <w:color w:val="auto"/>
            </w:rPr>
          </w:pPr>
          <w:hyperlink w:anchor="_Toc153266893" w:history="1">
            <w:r w:rsidRPr="002C535B">
              <w:rPr>
                <w:rStyle w:val="af1"/>
                <w:b w:val="0"/>
                <w:color w:val="auto"/>
              </w:rPr>
              <w:t>2.2 Сведения об объектах федерального и регионального значения</w:t>
            </w:r>
            <w:r w:rsidRPr="002C535B">
              <w:rPr>
                <w:b w:val="0"/>
                <w:webHidden/>
                <w:color w:val="auto"/>
              </w:rPr>
              <w:tab/>
            </w:r>
            <w:r w:rsidRPr="002C535B">
              <w:rPr>
                <w:b w:val="0"/>
                <w:webHidden/>
                <w:color w:val="auto"/>
              </w:rPr>
              <w:fldChar w:fldCharType="begin"/>
            </w:r>
            <w:r w:rsidRPr="002C535B">
              <w:rPr>
                <w:b w:val="0"/>
                <w:webHidden/>
                <w:color w:val="auto"/>
              </w:rPr>
              <w:instrText xml:space="preserve"> PAGEREF _Toc153266893 \h </w:instrText>
            </w:r>
            <w:r w:rsidRPr="002C535B">
              <w:rPr>
                <w:b w:val="0"/>
                <w:webHidden/>
                <w:color w:val="auto"/>
              </w:rPr>
            </w:r>
            <w:r w:rsidRPr="002C535B">
              <w:rPr>
                <w:b w:val="0"/>
                <w:webHidden/>
                <w:color w:val="auto"/>
              </w:rPr>
              <w:fldChar w:fldCharType="separate"/>
            </w:r>
            <w:r w:rsidRPr="002C535B">
              <w:rPr>
                <w:b w:val="0"/>
                <w:webHidden/>
                <w:color w:val="auto"/>
              </w:rPr>
              <w:t>19</w:t>
            </w:r>
            <w:r w:rsidRPr="002C535B">
              <w:rPr>
                <w:b w:val="0"/>
                <w:webHidden/>
                <w:color w:val="auto"/>
              </w:rPr>
              <w:fldChar w:fldCharType="end"/>
            </w:r>
          </w:hyperlink>
        </w:p>
        <w:p w:rsidR="00A42D7A" w:rsidRDefault="00A42D7A" w:rsidP="00A42D7A">
          <w:r w:rsidRPr="002C535B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A42D7A" w:rsidRPr="00D14971" w:rsidRDefault="00A42D7A" w:rsidP="00A42D7A">
      <w:pPr>
        <w:pStyle w:val="2"/>
      </w:pPr>
      <w:r>
        <w:br w:type="page"/>
      </w:r>
      <w:bookmarkStart w:id="1" w:name="_Toc153266888"/>
      <w:r>
        <w:lastRenderedPageBreak/>
        <w:t>Цели и задачи</w:t>
      </w:r>
      <w:bookmarkEnd w:id="1"/>
    </w:p>
    <w:p w:rsidR="00A42D7A" w:rsidRPr="005B4228" w:rsidRDefault="00A42D7A" w:rsidP="00A42D7A">
      <w:pPr>
        <w:pStyle w:val="afd"/>
        <w:rPr>
          <w:lang w:val="ru-RU"/>
        </w:rPr>
      </w:pPr>
      <w:r w:rsidRPr="005B4228">
        <w:rPr>
          <w:lang w:val="ru-RU"/>
        </w:rPr>
        <w:t xml:space="preserve">В соответствии с градостроительным законодательством Генеральный план муниципального образования </w:t>
      </w:r>
      <w:r w:rsidR="00C453AC">
        <w:rPr>
          <w:lang w:val="ru-RU"/>
        </w:rPr>
        <w:t>Верхнечебеньковский</w:t>
      </w:r>
      <w:r w:rsidRPr="005B4228">
        <w:rPr>
          <w:lang w:val="ru-RU"/>
        </w:rPr>
        <w:t xml:space="preserve"> сельсовет </w:t>
      </w:r>
      <w:r>
        <w:rPr>
          <w:lang w:val="ru-RU"/>
        </w:rPr>
        <w:t>Сакмарского</w:t>
      </w:r>
      <w:r w:rsidRPr="005B4228">
        <w:rPr>
          <w:lang w:val="ru-RU"/>
        </w:rPr>
        <w:t xml:space="preserve"> района Оренбургской области является документом территориального планирования муниципального образования. Генеральным планом определено, исходя из совокупности социальных, экономических, экологических и иных факторов, назначение территорий МО </w:t>
      </w:r>
      <w:r w:rsidR="00C453AC">
        <w:rPr>
          <w:lang w:val="ru-RU"/>
        </w:rPr>
        <w:t>Верхнечебеньковский</w:t>
      </w:r>
      <w:r w:rsidRPr="005B4228">
        <w:rPr>
          <w:lang w:val="ru-RU"/>
        </w:rPr>
        <w:t xml:space="preserve"> сельсовет в целях обеспечения их устойчивого развития, развития инженерной, транспортной и социальной инфраструктур, обеспечения учета интересов граждан и их объединений, Российской Федерации, Оренбургской области, муниципальных образований.</w:t>
      </w:r>
    </w:p>
    <w:p w:rsidR="00A42D7A" w:rsidRPr="005B4228" w:rsidRDefault="00A42D7A" w:rsidP="00A42D7A">
      <w:pPr>
        <w:pStyle w:val="afd"/>
        <w:rPr>
          <w:lang w:val="ru-RU"/>
        </w:rPr>
      </w:pPr>
      <w:r w:rsidRPr="005B4228">
        <w:rPr>
          <w:color w:val="000000"/>
          <w:lang w:val="ru-RU"/>
        </w:rPr>
        <w:t xml:space="preserve">Генеральный план разработан в соответствии с Конституцией Российской </w:t>
      </w:r>
      <w:r w:rsidRPr="005B4228">
        <w:rPr>
          <w:lang w:val="ru-RU"/>
        </w:rPr>
        <w:t xml:space="preserve">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Оренбургской области, уставом МО СП </w:t>
      </w:r>
      <w:r w:rsidR="00C453AC">
        <w:rPr>
          <w:lang w:val="ru-RU"/>
        </w:rPr>
        <w:t>Верхнечебеньковский</w:t>
      </w:r>
      <w:r w:rsidRPr="005B4228">
        <w:rPr>
          <w:lang w:val="ru-RU"/>
        </w:rPr>
        <w:t xml:space="preserve"> сельсовет.</w:t>
      </w:r>
    </w:p>
    <w:p w:rsidR="00A42D7A" w:rsidRPr="005B4228" w:rsidRDefault="00A42D7A" w:rsidP="00A42D7A">
      <w:pPr>
        <w:pStyle w:val="afd"/>
        <w:rPr>
          <w:lang w:val="ru-RU"/>
        </w:rPr>
      </w:pPr>
    </w:p>
    <w:p w:rsidR="00A42D7A" w:rsidRPr="005B4228" w:rsidRDefault="00A42D7A" w:rsidP="00A42D7A">
      <w:pPr>
        <w:pStyle w:val="afd"/>
        <w:spacing w:before="120"/>
        <w:rPr>
          <w:lang w:val="ru-RU"/>
        </w:rPr>
      </w:pPr>
      <w:r w:rsidRPr="005B4228">
        <w:rPr>
          <w:b/>
          <w:i/>
          <w:u w:val="single"/>
          <w:lang w:val="ru-RU"/>
        </w:rPr>
        <w:t>Генеральный план</w:t>
      </w:r>
      <w:r w:rsidRPr="005B4228">
        <w:rPr>
          <w:lang w:val="ru-RU"/>
        </w:rPr>
        <w:t xml:space="preserve"> – проектный документ, на основании которого осуществляется планировка, застройка, реконструкция и иные виды градостроительного освоения территорий. </w:t>
      </w:r>
    </w:p>
    <w:p w:rsidR="00A42D7A" w:rsidRPr="002C535B" w:rsidRDefault="00A42D7A" w:rsidP="00A42D7A">
      <w:pPr>
        <w:pStyle w:val="afd"/>
        <w:spacing w:before="120"/>
        <w:rPr>
          <w:iCs/>
          <w:lang w:val="ru-RU"/>
        </w:rPr>
      </w:pPr>
      <w:r w:rsidRPr="002C535B">
        <w:rPr>
          <w:b/>
          <w:i/>
          <w:u w:val="single"/>
          <w:lang w:val="ru-RU"/>
        </w:rPr>
        <w:t>Основная цель проекта:</w:t>
      </w:r>
      <w:r w:rsidRPr="002C535B">
        <w:rPr>
          <w:lang w:val="ru-RU"/>
        </w:rPr>
        <w:t xml:space="preserve"> </w:t>
      </w:r>
      <w:r w:rsidRPr="002C535B">
        <w:rPr>
          <w:iCs/>
          <w:lang w:val="ru-RU"/>
        </w:rPr>
        <w:t xml:space="preserve">разработка принципиальных предложений по планировочной организации территории </w:t>
      </w:r>
      <w:r w:rsidRPr="002C535B">
        <w:rPr>
          <w:lang w:val="ru-RU"/>
        </w:rPr>
        <w:t>муниципального образования сельское поселение</w:t>
      </w:r>
      <w:r w:rsidRPr="002C535B">
        <w:rPr>
          <w:iCs/>
          <w:lang w:val="ru-RU"/>
        </w:rPr>
        <w:t xml:space="preserve"> </w:t>
      </w:r>
      <w:r w:rsidR="00C453AC" w:rsidRPr="002C535B">
        <w:rPr>
          <w:lang w:val="ru-RU"/>
        </w:rPr>
        <w:t>Верхнечебеньковский</w:t>
      </w:r>
      <w:r w:rsidRPr="002C535B">
        <w:rPr>
          <w:iCs/>
          <w:lang w:val="ru-RU"/>
        </w:rPr>
        <w:t xml:space="preserve"> сельсовет, упорядочение всех внешних и внутренних функциональных связей, уточнение границ и направлений перспективного территориального развития.</w:t>
      </w:r>
    </w:p>
    <w:p w:rsidR="002C535B" w:rsidRDefault="002C535B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/>
          <w:i/>
          <w:sz w:val="24"/>
          <w:szCs w:val="24"/>
        </w:rPr>
        <w:t>Цели и основные задачи разработки проекта</w:t>
      </w:r>
      <w:r w:rsidRPr="005B4228">
        <w:rPr>
          <w:rFonts w:ascii="Times New Roman" w:hAnsi="Times New Roman" w:cs="Times New Roman"/>
          <w:sz w:val="24"/>
          <w:szCs w:val="24"/>
        </w:rPr>
        <w:t>: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bookmarkStart w:id="2" w:name="bookmark0"/>
      <w:r w:rsidRPr="00D14971">
        <w:rPr>
          <w:lang w:val="ru-RU"/>
        </w:rPr>
        <w:t>Обеспечение устойчивого развития территории муниципального образования, создание благоприятных условий проживания населения, исходя из совокупности экологических, экономических, социальных и иных факторов.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>Совершенствование архитектурно-планировочной организации территории населенного пункта, расположенных на территории муниципального образования объектов.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 xml:space="preserve">Определение долгосрочной стратегии и этапов развития сельского поселения, с учетом ресурсного потенциала прилегающих к нему территорий. 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>Сохранение сельскохозяйственных пахотных земель, имеющих высокую кадастровую оценку.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 xml:space="preserve">Формирование природозащитного каркаса территории, препятствующего развитию эрозионных процессов. 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>Создание планировочных условий для развития агропромышленного комплекса.</w:t>
      </w:r>
    </w:p>
    <w:p w:rsidR="002C535B" w:rsidRPr="00D14971" w:rsidRDefault="002C535B" w:rsidP="002C535B">
      <w:pPr>
        <w:pStyle w:val="afd"/>
        <w:numPr>
          <w:ilvl w:val="0"/>
          <w:numId w:val="3"/>
        </w:numPr>
        <w:tabs>
          <w:tab w:val="left" w:pos="993"/>
        </w:tabs>
        <w:ind w:left="0" w:firstLine="709"/>
        <w:rPr>
          <w:lang w:val="ru-RU"/>
        </w:rPr>
      </w:pPr>
      <w:r w:rsidRPr="00D14971">
        <w:rPr>
          <w:lang w:val="ru-RU"/>
        </w:rPr>
        <w:t>Создание условий по восстановлению и дальнейшему развитию сфер жизнеобеспечения населения, закрепления численности и притока населения за счет развития экономического потенциала, нового жилищного строительства, развития культурно-бытового обслуживания, транспорта, инженерной инфраструктуры и т.д.</w:t>
      </w:r>
    </w:p>
    <w:p w:rsidR="00A42D7A" w:rsidRPr="005B4228" w:rsidRDefault="00A42D7A" w:rsidP="00A42D7A">
      <w:pPr>
        <w:pStyle w:val="afd"/>
        <w:rPr>
          <w:b/>
          <w:lang w:val="ru-RU"/>
        </w:rPr>
      </w:pPr>
    </w:p>
    <w:p w:rsidR="00A42D7A" w:rsidRPr="005B4228" w:rsidRDefault="00A42D7A" w:rsidP="00A42D7A">
      <w:pPr>
        <w:pStyle w:val="afd"/>
        <w:rPr>
          <w:b/>
          <w:lang w:val="ru-RU"/>
        </w:rPr>
      </w:pPr>
      <w:r w:rsidRPr="005B4228">
        <w:rPr>
          <w:b/>
          <w:lang w:val="ru-RU"/>
        </w:rPr>
        <w:t>ЦЕЛИ И ЗАДАЧИ</w:t>
      </w:r>
      <w:bookmarkEnd w:id="2"/>
      <w:r w:rsidRPr="005B4228">
        <w:rPr>
          <w:b/>
          <w:lang w:val="ru-RU"/>
        </w:rPr>
        <w:t xml:space="preserve"> РАБОТ ПО АКТУАЛИЗАЦИИ ГЕНЕРАЛЬНОГО ПЛАНА </w:t>
      </w:r>
      <w:r w:rsidRPr="00C453AC">
        <w:rPr>
          <w:b/>
          <w:caps/>
          <w:lang w:val="ru-RU"/>
        </w:rPr>
        <w:t xml:space="preserve">МО </w:t>
      </w:r>
      <w:r w:rsidR="00C453AC" w:rsidRPr="00C453AC">
        <w:rPr>
          <w:b/>
          <w:caps/>
          <w:lang w:val="ru-RU"/>
        </w:rPr>
        <w:t>Верхнечебеньковский</w:t>
      </w:r>
      <w:r w:rsidRPr="005B4228">
        <w:rPr>
          <w:b/>
          <w:lang w:val="ru-RU"/>
        </w:rPr>
        <w:t xml:space="preserve"> СЕЛЬСОВЕТ:</w:t>
      </w:r>
    </w:p>
    <w:p w:rsidR="00A42D7A" w:rsidRPr="005B4228" w:rsidRDefault="00A42D7A" w:rsidP="00C453AC">
      <w:pPr>
        <w:pStyle w:val="ac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B4228">
        <w:rPr>
          <w:rFonts w:ascii="Times New Roman" w:hAnsi="Times New Roman"/>
          <w:sz w:val="24"/>
          <w:szCs w:val="24"/>
        </w:rPr>
        <w:lastRenderedPageBreak/>
        <w:t xml:space="preserve">Целями работы является внесение изменений в действующий генеральный план МО </w:t>
      </w:r>
      <w:r w:rsidR="00C453AC" w:rsidRPr="00C453AC">
        <w:rPr>
          <w:rFonts w:ascii="Times New Roman" w:hAnsi="Times New Roman"/>
          <w:sz w:val="24"/>
          <w:szCs w:val="24"/>
        </w:rPr>
        <w:t xml:space="preserve">Верхнечебеньковский </w:t>
      </w:r>
      <w:r w:rsidRPr="005B4228">
        <w:rPr>
          <w:rFonts w:ascii="Times New Roman" w:hAnsi="Times New Roman"/>
          <w:sz w:val="24"/>
          <w:szCs w:val="24"/>
        </w:rPr>
        <w:t>сельсовет в части приведения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228">
        <w:rPr>
          <w:rFonts w:ascii="Times New Roman" w:hAnsi="Times New Roman"/>
          <w:sz w:val="24"/>
          <w:szCs w:val="24"/>
        </w:rPr>
        <w:t xml:space="preserve">соответствие со Схемой территориального планирования (далее СТП) Оренбургской области, СТП </w:t>
      </w:r>
      <w:r>
        <w:rPr>
          <w:rFonts w:ascii="Times New Roman" w:hAnsi="Times New Roman"/>
          <w:sz w:val="24"/>
          <w:szCs w:val="24"/>
        </w:rPr>
        <w:t>Сакмарского</w:t>
      </w:r>
      <w:r w:rsidRPr="005B4228">
        <w:rPr>
          <w:rFonts w:ascii="Times New Roman" w:hAnsi="Times New Roman"/>
          <w:sz w:val="24"/>
          <w:szCs w:val="24"/>
        </w:rPr>
        <w:t xml:space="preserve"> района и изменения назначения функциональных зон в границах муниципального образования </w:t>
      </w:r>
      <w:r w:rsidR="00C453AC" w:rsidRPr="00C453AC">
        <w:rPr>
          <w:rFonts w:ascii="Times New Roman" w:hAnsi="Times New Roman"/>
          <w:sz w:val="24"/>
          <w:szCs w:val="24"/>
        </w:rPr>
        <w:t>Верхнечебеньковский</w:t>
      </w:r>
      <w:r w:rsidRPr="005B4228">
        <w:rPr>
          <w:rFonts w:ascii="Times New Roman" w:hAnsi="Times New Roman"/>
          <w:sz w:val="24"/>
          <w:szCs w:val="24"/>
        </w:rPr>
        <w:t xml:space="preserve"> сельсовет, с учетом фактического</w:t>
      </w:r>
      <w:r w:rsidR="00C453AC">
        <w:rPr>
          <w:rFonts w:ascii="Times New Roman" w:hAnsi="Times New Roman"/>
          <w:sz w:val="24"/>
          <w:szCs w:val="24"/>
        </w:rPr>
        <w:t xml:space="preserve"> </w:t>
      </w:r>
      <w:r w:rsidRPr="005B4228">
        <w:rPr>
          <w:rFonts w:ascii="Times New Roman" w:hAnsi="Times New Roman"/>
          <w:sz w:val="24"/>
          <w:szCs w:val="24"/>
        </w:rPr>
        <w:t>использования.</w:t>
      </w:r>
    </w:p>
    <w:p w:rsidR="00A42D7A" w:rsidRPr="005B4228" w:rsidRDefault="00A42D7A" w:rsidP="005E2351">
      <w:pPr>
        <w:pStyle w:val="ac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B4228">
        <w:rPr>
          <w:rFonts w:ascii="Times New Roman" w:hAnsi="Times New Roman"/>
          <w:sz w:val="24"/>
          <w:szCs w:val="24"/>
        </w:rPr>
        <w:t>Для достижения целей необходимо выполнение следующих задач:</w:t>
      </w:r>
    </w:p>
    <w:p w:rsidR="00A42D7A" w:rsidRPr="005B4228" w:rsidRDefault="00A42D7A" w:rsidP="005E2351">
      <w:pPr>
        <w:pStyle w:val="ac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B4228">
        <w:rPr>
          <w:rFonts w:ascii="Times New Roman" w:hAnsi="Times New Roman"/>
          <w:sz w:val="24"/>
          <w:szCs w:val="24"/>
        </w:rPr>
        <w:t>определить функциональное назначение территорий муниципального образования за границами населенных пунктов в соответствии с современным</w:t>
      </w:r>
      <w:r w:rsidRPr="005B4228">
        <w:rPr>
          <w:rFonts w:ascii="Times New Roman" w:hAnsi="Times New Roman"/>
          <w:sz w:val="24"/>
          <w:szCs w:val="24"/>
        </w:rPr>
        <w:tab/>
        <w:t>и перспективным развитием территорий и объектов капитального строительства нефтяного комплекса</w:t>
      </w:r>
      <w:r w:rsidRPr="005B4228">
        <w:rPr>
          <w:rFonts w:ascii="Times New Roman" w:hAnsi="Times New Roman"/>
          <w:sz w:val="24"/>
          <w:szCs w:val="24"/>
          <w:lang w:bidi="ru-RU"/>
        </w:rPr>
        <w:t>.</w:t>
      </w:r>
    </w:p>
    <w:p w:rsidR="00A42D7A" w:rsidRPr="005B4228" w:rsidRDefault="00A42D7A" w:rsidP="00A42D7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br w:type="page"/>
      </w:r>
    </w:p>
    <w:p w:rsidR="00A42D7A" w:rsidRPr="005B4228" w:rsidRDefault="00A42D7A" w:rsidP="005E2351">
      <w:pPr>
        <w:pStyle w:val="2"/>
        <w:numPr>
          <w:ilvl w:val="0"/>
          <w:numId w:val="2"/>
        </w:numPr>
        <w:ind w:left="567" w:firstLine="567"/>
        <w:rPr>
          <w:rFonts w:ascii="Times New Roman" w:hAnsi="Times New Roman"/>
          <w:sz w:val="24"/>
          <w:szCs w:val="24"/>
        </w:rPr>
      </w:pPr>
      <w:bookmarkStart w:id="3" w:name="_Toc153266889"/>
      <w:r w:rsidRPr="005B4228">
        <w:rPr>
          <w:rFonts w:ascii="Times New Roman" w:hAnsi="Times New Roman"/>
          <w:sz w:val="24"/>
          <w:szCs w:val="24"/>
          <w:lang w:bidi="ru-RU"/>
        </w:rPr>
        <w:lastRenderedPageBreak/>
        <w:t>Общие положения.</w:t>
      </w:r>
      <w:bookmarkEnd w:id="3"/>
    </w:p>
    <w:p w:rsidR="00A42D7A" w:rsidRPr="005B4228" w:rsidRDefault="00A42D7A" w:rsidP="00A42D7A">
      <w:pPr>
        <w:pStyle w:val="3"/>
      </w:pPr>
      <w:bookmarkStart w:id="4" w:name="_Toc363468508"/>
      <w:bookmarkStart w:id="5" w:name="_Toc363549732"/>
      <w:bookmarkStart w:id="6" w:name="_Toc153266890"/>
      <w:r w:rsidRPr="005B4228">
        <w:t>1.1 Границы МО</w:t>
      </w:r>
      <w:bookmarkEnd w:id="4"/>
      <w:bookmarkEnd w:id="5"/>
      <w:r w:rsidRPr="005B4228">
        <w:t xml:space="preserve"> </w:t>
      </w:r>
      <w:r w:rsidR="00C453AC" w:rsidRPr="00C453AC">
        <w:t>Верхнечебеньковский</w:t>
      </w:r>
      <w:r w:rsidRPr="005B4228">
        <w:t xml:space="preserve"> сельсовет</w:t>
      </w:r>
      <w:bookmarkEnd w:id="6"/>
    </w:p>
    <w:p w:rsidR="002C535B" w:rsidRPr="005B4228" w:rsidRDefault="002C535B" w:rsidP="002C535B">
      <w:pPr>
        <w:pStyle w:val="afd"/>
        <w:rPr>
          <w:lang w:val="ru-RU"/>
        </w:rPr>
      </w:pPr>
      <w:r w:rsidRPr="005B4228">
        <w:rPr>
          <w:lang w:val="ru-RU"/>
        </w:rPr>
        <w:t xml:space="preserve">МО </w:t>
      </w:r>
      <w:r>
        <w:rPr>
          <w:lang w:val="ru-RU"/>
        </w:rPr>
        <w:t xml:space="preserve">Верхнечебеньковский сельсовет </w:t>
      </w:r>
      <w:r w:rsidRPr="005B4228">
        <w:rPr>
          <w:lang w:val="ru-RU"/>
        </w:rPr>
        <w:t xml:space="preserve">(далее – </w:t>
      </w:r>
      <w:r>
        <w:rPr>
          <w:lang w:val="ru-RU"/>
        </w:rPr>
        <w:t>Верхнечебеньковский сельсовет</w:t>
      </w:r>
      <w:r w:rsidRPr="005B4228">
        <w:rPr>
          <w:lang w:val="ru-RU"/>
        </w:rPr>
        <w:t xml:space="preserve">) находится в Российской Федерации, Оренбургской области, в </w:t>
      </w:r>
      <w:r>
        <w:rPr>
          <w:lang w:val="ru-RU"/>
        </w:rPr>
        <w:t>Оренбургском</w:t>
      </w:r>
      <w:r w:rsidRPr="005B4228">
        <w:rPr>
          <w:lang w:val="ru-RU"/>
        </w:rPr>
        <w:t xml:space="preserve"> районе.</w:t>
      </w:r>
    </w:p>
    <w:p w:rsidR="002C535B" w:rsidRPr="005B4228" w:rsidRDefault="002C535B" w:rsidP="002C535B">
      <w:pPr>
        <w:pStyle w:val="afd"/>
        <w:rPr>
          <w:lang w:val="ru-RU"/>
        </w:rPr>
      </w:pPr>
      <w:r w:rsidRPr="005B4228">
        <w:rPr>
          <w:lang w:val="ru-RU"/>
        </w:rPr>
        <w:t xml:space="preserve">Оренбургская область входит в состав Приволжского Федерального округа и является одной из крупнейших областей России – ее площадь составляет </w:t>
      </w:r>
      <w:r>
        <w:rPr>
          <w:lang w:val="ru-RU"/>
        </w:rPr>
        <w:t>123 702</w:t>
      </w:r>
      <w:r w:rsidRPr="005B4228">
        <w:rPr>
          <w:lang w:val="ru-RU"/>
        </w:rPr>
        <w:t xml:space="preserve"> тыс. км</w:t>
      </w:r>
      <w:r w:rsidRPr="005B4228">
        <w:rPr>
          <w:vertAlign w:val="superscript"/>
          <w:lang w:val="ru-RU"/>
        </w:rPr>
        <w:t>2</w:t>
      </w:r>
      <w:r w:rsidRPr="005B4228">
        <w:rPr>
          <w:lang w:val="ru-RU"/>
        </w:rPr>
        <w:t xml:space="preserve"> (0,7% территории России), 29-е место в РФ.</w:t>
      </w:r>
    </w:p>
    <w:p w:rsidR="002C535B" w:rsidRPr="005B4228" w:rsidRDefault="002C535B" w:rsidP="002C535B">
      <w:pPr>
        <w:pStyle w:val="afd"/>
        <w:rPr>
          <w:lang w:val="ru-RU"/>
        </w:rPr>
      </w:pPr>
      <w:r w:rsidRPr="005B4228">
        <w:rPr>
          <w:lang w:val="ru-RU"/>
        </w:rPr>
        <w:t xml:space="preserve">Плотность населения в целом по области составляет </w:t>
      </w:r>
      <w:r>
        <w:rPr>
          <w:lang w:val="ru-RU"/>
        </w:rPr>
        <w:t>14,89</w:t>
      </w:r>
      <w:r w:rsidRPr="005B4228">
        <w:rPr>
          <w:lang w:val="ru-RU"/>
        </w:rPr>
        <w:t xml:space="preserve"> чел./км</w:t>
      </w:r>
      <w:r w:rsidRPr="005B4228">
        <w:rPr>
          <w:vertAlign w:val="superscript"/>
          <w:lang w:val="ru-RU"/>
        </w:rPr>
        <w:t>2</w:t>
      </w:r>
      <w:r w:rsidRPr="005B4228">
        <w:rPr>
          <w:lang w:val="ru-RU"/>
        </w:rPr>
        <w:t xml:space="preserve">. Другие соседствующие области заселены более плотно. </w:t>
      </w:r>
    </w:p>
    <w:p w:rsidR="002C535B" w:rsidRPr="005B4228" w:rsidRDefault="002C535B" w:rsidP="002C535B">
      <w:pPr>
        <w:pStyle w:val="afd"/>
        <w:rPr>
          <w:lang w:val="ru-RU"/>
        </w:rPr>
      </w:pPr>
      <w:r w:rsidRPr="005B4228">
        <w:rPr>
          <w:lang w:val="ru-RU"/>
        </w:rPr>
        <w:t xml:space="preserve">В пределах области население размещается неравномерно. Наиболее плотно заселены районы, расположенные вблизи г. Оренбург и на севере области (Абдулинский, Бугурусланский, Бузулукский, Соль-Илецкий, Оребургский, Кувандыкский,). Районы связаны транспортным коридором, соединяющим Самару и Оренбург. </w:t>
      </w:r>
    </w:p>
    <w:p w:rsidR="002C535B" w:rsidRPr="00A85150" w:rsidRDefault="002C535B" w:rsidP="002C535B">
      <w:pPr>
        <w:pStyle w:val="afd"/>
        <w:rPr>
          <w:color w:val="000000"/>
          <w:lang w:val="ru-RU"/>
        </w:rPr>
      </w:pPr>
      <w:r w:rsidRPr="0057055D">
        <w:rPr>
          <w:color w:val="000000"/>
          <w:lang w:val="ru-RU"/>
        </w:rPr>
        <w:t xml:space="preserve"> </w:t>
      </w:r>
      <w:r w:rsidRPr="00A85150">
        <w:rPr>
          <w:color w:val="000000"/>
          <w:lang w:val="ru-RU"/>
        </w:rPr>
        <w:t xml:space="preserve">Муниципальное образование </w:t>
      </w:r>
      <w:r>
        <w:rPr>
          <w:color w:val="000000"/>
          <w:lang w:val="ru-RU"/>
        </w:rPr>
        <w:t>Верхнечебеньковский сельсовет</w:t>
      </w:r>
      <w:r w:rsidRPr="00A85150">
        <w:rPr>
          <w:color w:val="000000"/>
          <w:lang w:val="ru-RU"/>
        </w:rPr>
        <w:t xml:space="preserve"> расположен в </w:t>
      </w:r>
      <w:r>
        <w:rPr>
          <w:color w:val="000000"/>
          <w:lang w:val="ru-RU"/>
        </w:rPr>
        <w:t xml:space="preserve">44 </w:t>
      </w:r>
      <w:r w:rsidRPr="00A85150">
        <w:rPr>
          <w:color w:val="000000"/>
          <w:lang w:val="ru-RU"/>
        </w:rPr>
        <w:t>км от г.</w:t>
      </w:r>
      <w:r>
        <w:rPr>
          <w:color w:val="000000"/>
          <w:lang w:val="ru-RU"/>
        </w:rPr>
        <w:t xml:space="preserve"> </w:t>
      </w:r>
      <w:r w:rsidRPr="00A85150">
        <w:rPr>
          <w:color w:val="000000"/>
          <w:lang w:val="ru-RU"/>
        </w:rPr>
        <w:t xml:space="preserve">Оренбург и входит в состав </w:t>
      </w:r>
      <w:r>
        <w:rPr>
          <w:color w:val="000000"/>
          <w:lang w:val="ru-RU"/>
        </w:rPr>
        <w:t>Сакмарского</w:t>
      </w:r>
      <w:r w:rsidRPr="00A85150">
        <w:rPr>
          <w:color w:val="000000"/>
          <w:lang w:val="ru-RU"/>
        </w:rPr>
        <w:t xml:space="preserve"> района Оренбургской области.</w:t>
      </w:r>
      <w:r>
        <w:rPr>
          <w:color w:val="000000"/>
          <w:lang w:val="ru-RU"/>
        </w:rPr>
        <w:t xml:space="preserve"> </w:t>
      </w:r>
    </w:p>
    <w:p w:rsidR="002C535B" w:rsidRDefault="002C535B" w:rsidP="002C535B">
      <w:pPr>
        <w:pStyle w:val="afd"/>
        <w:rPr>
          <w:color w:val="000000"/>
          <w:lang w:val="ru-RU"/>
        </w:rPr>
      </w:pPr>
      <w:r w:rsidRPr="00A85150">
        <w:rPr>
          <w:color w:val="000000"/>
          <w:lang w:val="ru-RU"/>
        </w:rPr>
        <w:t xml:space="preserve">В состав муниципального образования </w:t>
      </w:r>
      <w:r>
        <w:rPr>
          <w:color w:val="000000"/>
          <w:lang w:val="ru-RU"/>
        </w:rPr>
        <w:t>Верхнечебеньковский сельсовет</w:t>
      </w:r>
      <w:r w:rsidRPr="00A85150">
        <w:rPr>
          <w:color w:val="000000"/>
          <w:lang w:val="ru-RU"/>
        </w:rPr>
        <w:t xml:space="preserve"> входит </w:t>
      </w:r>
      <w:r>
        <w:rPr>
          <w:color w:val="000000"/>
          <w:lang w:val="ru-RU"/>
        </w:rPr>
        <w:t>пять</w:t>
      </w:r>
      <w:r w:rsidRPr="00A85150">
        <w:rPr>
          <w:color w:val="000000"/>
          <w:lang w:val="ru-RU"/>
        </w:rPr>
        <w:t xml:space="preserve"> населенных пункт</w:t>
      </w:r>
      <w:r>
        <w:rPr>
          <w:color w:val="000000"/>
          <w:lang w:val="ru-RU"/>
        </w:rPr>
        <w:t>ов</w:t>
      </w:r>
      <w:r w:rsidRPr="00A85150">
        <w:rPr>
          <w:color w:val="000000"/>
          <w:lang w:val="ru-RU"/>
        </w:rPr>
        <w:t>: сел</w:t>
      </w:r>
      <w:r>
        <w:rPr>
          <w:color w:val="000000"/>
          <w:lang w:val="ru-RU"/>
        </w:rPr>
        <w:t>а</w:t>
      </w:r>
      <w:r w:rsidRPr="00A85150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Верхние Чебеньки, Нижние Чебеньки, Раздольское, Степные Огни, Дмитриевка.</w:t>
      </w:r>
      <w:r w:rsidRPr="00A85150">
        <w:rPr>
          <w:color w:val="000000"/>
          <w:lang w:val="ru-RU"/>
        </w:rPr>
        <w:t xml:space="preserve"> </w:t>
      </w:r>
      <w:r w:rsidRPr="002A3D86">
        <w:rPr>
          <w:color w:val="000000"/>
          <w:lang w:val="ru-RU"/>
        </w:rPr>
        <w:t xml:space="preserve">Площадь территории: </w:t>
      </w:r>
      <w:r>
        <w:rPr>
          <w:color w:val="000000"/>
          <w:lang w:val="ru-RU"/>
        </w:rPr>
        <w:t>142</w:t>
      </w:r>
      <w:r w:rsidRPr="002A3D86">
        <w:rPr>
          <w:color w:val="000000"/>
          <w:lang w:val="ru-RU"/>
        </w:rPr>
        <w:t xml:space="preserve"> кв.км. Население:</w:t>
      </w:r>
      <w:r w:rsidRPr="00AD35B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1374</w:t>
      </w:r>
      <w:r w:rsidRPr="002A3D86">
        <w:rPr>
          <w:color w:val="000000"/>
          <w:lang w:val="ru-RU"/>
        </w:rPr>
        <w:t xml:space="preserve"> чел. (на1 января 20</w:t>
      </w:r>
      <w:r>
        <w:rPr>
          <w:color w:val="000000"/>
          <w:lang w:val="ru-RU"/>
        </w:rPr>
        <w:t>21</w:t>
      </w:r>
      <w:r w:rsidRPr="002A3D86">
        <w:rPr>
          <w:color w:val="000000"/>
          <w:lang w:val="ru-RU"/>
        </w:rPr>
        <w:t xml:space="preserve">г.) </w:t>
      </w:r>
    </w:p>
    <w:p w:rsidR="002C535B" w:rsidRDefault="002C535B" w:rsidP="002C53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228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Предлагаемые проектом границы населенных пунктов представлены на карте современного состояния и использования территорий в границах МО </w:t>
      </w:r>
      <w:r>
        <w:rPr>
          <w:rFonts w:ascii="Times New Roman" w:hAnsi="Times New Roman" w:cs="Times New Roman"/>
          <w:sz w:val="24"/>
          <w:szCs w:val="24"/>
          <w:lang w:eastAsia="ar-SA"/>
        </w:rPr>
        <w:t>Верхнечебеньковский сельсовет</w:t>
      </w:r>
      <w:r w:rsidRPr="005B4228">
        <w:rPr>
          <w:rFonts w:ascii="Times New Roman" w:hAnsi="Times New Roman" w:cs="Times New Roman"/>
          <w:color w:val="000000"/>
          <w:sz w:val="24"/>
          <w:szCs w:val="24"/>
        </w:rPr>
        <w:t xml:space="preserve"> в графических материалах проекта.</w:t>
      </w:r>
    </w:p>
    <w:p w:rsidR="002C535B" w:rsidRDefault="002C535B" w:rsidP="002C5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5B4228">
        <w:rPr>
          <w:rFonts w:ascii="Times New Roman" w:hAnsi="Times New Roman" w:cs="Times New Roman"/>
          <w:sz w:val="24"/>
          <w:szCs w:val="24"/>
        </w:rPr>
        <w:t>исленнос</w:t>
      </w:r>
      <w:r>
        <w:rPr>
          <w:rFonts w:ascii="Times New Roman" w:hAnsi="Times New Roman" w:cs="Times New Roman"/>
          <w:sz w:val="24"/>
          <w:szCs w:val="24"/>
        </w:rPr>
        <w:t xml:space="preserve">ть населения по муниципальному </w:t>
      </w:r>
      <w:r w:rsidRPr="005B4228">
        <w:rPr>
          <w:rFonts w:ascii="Times New Roman" w:hAnsi="Times New Roman" w:cs="Times New Roman"/>
          <w:sz w:val="24"/>
          <w:szCs w:val="24"/>
        </w:rPr>
        <w:t>образованию состав</w:t>
      </w:r>
      <w:r>
        <w:rPr>
          <w:rFonts w:ascii="Times New Roman" w:hAnsi="Times New Roman" w:cs="Times New Roman"/>
          <w:sz w:val="24"/>
          <w:szCs w:val="24"/>
        </w:rPr>
        <w:t>ляет:</w:t>
      </w:r>
    </w:p>
    <w:p w:rsidR="002C535B" w:rsidRPr="00E9025A" w:rsidRDefault="002C535B" w:rsidP="002C5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/>
          <w:sz w:val="24"/>
          <w:szCs w:val="24"/>
        </w:rPr>
        <w:t xml:space="preserve">Всего- </w:t>
      </w:r>
      <w:r>
        <w:rPr>
          <w:rFonts w:ascii="Times New Roman" w:hAnsi="Times New Roman"/>
          <w:sz w:val="24"/>
          <w:szCs w:val="24"/>
        </w:rPr>
        <w:t>1374</w:t>
      </w:r>
      <w:r w:rsidRPr="005B4228">
        <w:rPr>
          <w:rFonts w:ascii="Times New Roman" w:hAnsi="Times New Roman"/>
          <w:sz w:val="24"/>
          <w:szCs w:val="24"/>
        </w:rPr>
        <w:t xml:space="preserve"> чел.</w:t>
      </w:r>
      <w:r>
        <w:rPr>
          <w:rFonts w:ascii="Times New Roman" w:hAnsi="Times New Roman"/>
          <w:sz w:val="24"/>
          <w:szCs w:val="24"/>
        </w:rPr>
        <w:t>(2021г.)</w:t>
      </w:r>
    </w:p>
    <w:p w:rsidR="002C535B" w:rsidRDefault="002C535B" w:rsidP="002C535B">
      <w:pPr>
        <w:pStyle w:val="af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A3D86">
        <w:rPr>
          <w:rFonts w:ascii="Times New Roman" w:hAnsi="Times New Roman"/>
          <w:sz w:val="24"/>
          <w:szCs w:val="24"/>
        </w:rPr>
        <w:t xml:space="preserve">село </w:t>
      </w:r>
      <w:r w:rsidRPr="00E9025A">
        <w:rPr>
          <w:rFonts w:ascii="Times New Roman" w:hAnsi="Times New Roman"/>
          <w:sz w:val="24"/>
          <w:szCs w:val="24"/>
        </w:rPr>
        <w:t xml:space="preserve">Верхние Чебеньки </w:t>
      </w:r>
      <w:r>
        <w:rPr>
          <w:rFonts w:ascii="Times New Roman" w:hAnsi="Times New Roman"/>
          <w:sz w:val="24"/>
          <w:szCs w:val="24"/>
        </w:rPr>
        <w:t>– 870 чел.;</w:t>
      </w:r>
    </w:p>
    <w:p w:rsidR="002C535B" w:rsidRPr="002A3D86" w:rsidRDefault="002C535B" w:rsidP="002C535B">
      <w:pPr>
        <w:pStyle w:val="af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село </w:t>
      </w:r>
      <w:r w:rsidRPr="00E9025A">
        <w:rPr>
          <w:rFonts w:ascii="Times New Roman" w:hAnsi="Times New Roman"/>
          <w:sz w:val="24"/>
          <w:szCs w:val="24"/>
        </w:rPr>
        <w:t>Нижние Чебеньки</w:t>
      </w:r>
      <w:r>
        <w:rPr>
          <w:rFonts w:ascii="Times New Roman" w:hAnsi="Times New Roman"/>
          <w:sz w:val="24"/>
          <w:szCs w:val="24"/>
        </w:rPr>
        <w:t xml:space="preserve"> – 133 чел.;</w:t>
      </w:r>
    </w:p>
    <w:p w:rsidR="002C535B" w:rsidRDefault="002C535B" w:rsidP="002C535B">
      <w:pPr>
        <w:pStyle w:val="af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село</w:t>
      </w:r>
      <w:r w:rsidRPr="002A3D86">
        <w:rPr>
          <w:rFonts w:ascii="Times New Roman" w:hAnsi="Times New Roman"/>
          <w:sz w:val="24"/>
          <w:szCs w:val="24"/>
        </w:rPr>
        <w:t xml:space="preserve"> </w:t>
      </w:r>
      <w:r w:rsidRPr="00E9025A">
        <w:rPr>
          <w:rFonts w:ascii="Times New Roman" w:hAnsi="Times New Roman"/>
          <w:sz w:val="24"/>
          <w:szCs w:val="24"/>
        </w:rPr>
        <w:t xml:space="preserve">Раздольское </w:t>
      </w:r>
      <w:r>
        <w:rPr>
          <w:rFonts w:ascii="Times New Roman" w:hAnsi="Times New Roman"/>
          <w:sz w:val="24"/>
          <w:szCs w:val="24"/>
        </w:rPr>
        <w:t>-19 чел.;</w:t>
      </w:r>
    </w:p>
    <w:p w:rsidR="002C535B" w:rsidRDefault="002C535B" w:rsidP="002C535B">
      <w:pPr>
        <w:pStyle w:val="af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село </w:t>
      </w:r>
      <w:r w:rsidRPr="00E9025A">
        <w:rPr>
          <w:rFonts w:ascii="Times New Roman" w:hAnsi="Times New Roman"/>
          <w:sz w:val="24"/>
          <w:szCs w:val="24"/>
        </w:rPr>
        <w:t>Степные Огни</w:t>
      </w:r>
      <w:r>
        <w:rPr>
          <w:rFonts w:ascii="Times New Roman" w:hAnsi="Times New Roman"/>
          <w:sz w:val="24"/>
          <w:szCs w:val="24"/>
        </w:rPr>
        <w:t xml:space="preserve"> – 123 чел.;</w:t>
      </w:r>
    </w:p>
    <w:p w:rsidR="002C535B" w:rsidRDefault="002C535B" w:rsidP="002C535B">
      <w:pPr>
        <w:pStyle w:val="af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село </w:t>
      </w:r>
      <w:r w:rsidRPr="00E9025A">
        <w:rPr>
          <w:rFonts w:ascii="Times New Roman" w:hAnsi="Times New Roman"/>
          <w:sz w:val="24"/>
          <w:szCs w:val="24"/>
        </w:rPr>
        <w:t>Дмитриевка</w:t>
      </w:r>
      <w:r>
        <w:rPr>
          <w:rFonts w:ascii="Times New Roman" w:hAnsi="Times New Roman"/>
          <w:sz w:val="24"/>
          <w:szCs w:val="24"/>
        </w:rPr>
        <w:t xml:space="preserve"> -396 чел.</w:t>
      </w:r>
    </w:p>
    <w:p w:rsidR="002C535B" w:rsidRDefault="002C535B" w:rsidP="002C5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D7A" w:rsidRPr="002A3D86" w:rsidRDefault="00A42D7A" w:rsidP="00A42D7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7" w:name="_Toc363468510"/>
      <w:bookmarkStart w:id="8" w:name="_Toc363549733"/>
      <w:r w:rsidRPr="002A3D86">
        <w:rPr>
          <w:rFonts w:ascii="Times New Roman" w:hAnsi="Times New Roman" w:cs="Times New Roman"/>
          <w:b/>
          <w:i/>
          <w:sz w:val="24"/>
          <w:szCs w:val="24"/>
        </w:rPr>
        <w:lastRenderedPageBreak/>
        <w:t>1.2 Объекты местного значения</w:t>
      </w:r>
      <w:bookmarkEnd w:id="7"/>
      <w:bookmarkEnd w:id="8"/>
      <w:r w:rsidRPr="002A3D8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42D7A" w:rsidRPr="005B4228" w:rsidRDefault="00A42D7A" w:rsidP="00A42D7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округов. 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К объектам местного значения относятся: </w:t>
      </w:r>
    </w:p>
    <w:p w:rsidR="00A42D7A" w:rsidRPr="005B4228" w:rsidRDefault="00A42D7A" w:rsidP="00A42D7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-объекты водоснабжения населения и водоотведения;</w:t>
      </w:r>
    </w:p>
    <w:p w:rsidR="00A42D7A" w:rsidRPr="005B4228" w:rsidRDefault="00A42D7A" w:rsidP="00A42D7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-автомобильные дороги местного значения;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-объекты физической культуры и массового спорта, образования, здравоохранения.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Объекты электро-, и газоснабжения находятся в ведении естественных монополий.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b/>
          <w:sz w:val="24"/>
          <w:szCs w:val="24"/>
          <w:lang w:eastAsia="ar-SA"/>
        </w:rPr>
        <w:t>Проектом предусмотрено: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- реконструкция старых объектов </w:t>
      </w:r>
      <w:r w:rsidR="00B41B0C">
        <w:rPr>
          <w:rFonts w:ascii="Times New Roman" w:hAnsi="Times New Roman" w:cs="Times New Roman"/>
          <w:sz w:val="24"/>
          <w:szCs w:val="24"/>
          <w:lang w:eastAsia="ar-SA"/>
        </w:rPr>
        <w:t>культуры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 населения сельсовета;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-организация новых объектов местного значения (</w:t>
      </w:r>
      <w:r w:rsidR="00B41B0C">
        <w:rPr>
          <w:rFonts w:ascii="Times New Roman" w:hAnsi="Times New Roman" w:cs="Times New Roman"/>
          <w:sz w:val="24"/>
          <w:szCs w:val="24"/>
          <w:lang w:eastAsia="ar-SA"/>
        </w:rPr>
        <w:t>детская площадка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>);</w:t>
      </w:r>
    </w:p>
    <w:p w:rsidR="00A42D7A" w:rsidRPr="005B4228" w:rsidRDefault="00A42D7A" w:rsidP="00A42D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-реконструкция </w:t>
      </w:r>
      <w:r w:rsidR="00CF7545">
        <w:rPr>
          <w:rFonts w:ascii="Times New Roman" w:hAnsi="Times New Roman" w:cs="Times New Roman"/>
          <w:sz w:val="24"/>
          <w:szCs w:val="24"/>
          <w:lang w:eastAsia="ar-SA"/>
        </w:rPr>
        <w:t>автомобильной дороги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42D7A" w:rsidRPr="005B4228" w:rsidRDefault="00A42D7A" w:rsidP="00A42D7A">
      <w:pPr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Объекты электро, и газоснабжения находятся в ведении естественных монополий.</w:t>
      </w:r>
    </w:p>
    <w:p w:rsidR="00A42D7A" w:rsidRPr="005F1B6A" w:rsidRDefault="00CF7545" w:rsidP="00A42D7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1.2.1</w:t>
      </w:r>
      <w:r w:rsidR="00A42D7A" w:rsidRPr="005F1B6A">
        <w:rPr>
          <w:rFonts w:ascii="Times New Roman" w:hAnsi="Times New Roman" w:cs="Times New Roman"/>
          <w:b/>
          <w:i/>
          <w:sz w:val="24"/>
          <w:szCs w:val="24"/>
        </w:rPr>
        <w:t xml:space="preserve"> Объекты утилизации и переработки бытовых и промышленных отходов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Биологическими отходами являются: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трупы животных или птиц, в т.ч. лабораторных;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абортированные и мертворожденные плоды;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ветеринарные конфискаты (мясо, рыба, другая продукция животного происхождения), выявленные после ветеринарно-санитарной экспертизы на убойных пунктах, в хладобойнях, мясо и рыбоперерабатывающих организациях, рынках, организациях торговли и других объектах.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Основными задачами по профилактике зооантропонозных инфекций в МО </w:t>
      </w:r>
      <w:r w:rsidR="00CF7545" w:rsidRPr="00CF7545">
        <w:rPr>
          <w:rFonts w:ascii="Times New Roman" w:hAnsi="Times New Roman" w:cs="Times New Roman"/>
          <w:sz w:val="24"/>
          <w:szCs w:val="24"/>
        </w:rPr>
        <w:t>Верхнечебеньковский</w:t>
      </w:r>
      <w:r w:rsidRPr="005B4228">
        <w:rPr>
          <w:rFonts w:ascii="Times New Roman" w:hAnsi="Times New Roman" w:cs="Times New Roman"/>
          <w:sz w:val="24"/>
          <w:szCs w:val="24"/>
        </w:rPr>
        <w:t xml:space="preserve"> сельсовет: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-выполнение планов вакцинации населения сельсовета против прививаемых зооантропонозных инфекций;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-постоянный контроль состояния скотомогильника и приведение в надлежащее санитарно-техническое состояние;</w:t>
      </w:r>
    </w:p>
    <w:p w:rsidR="00A42D7A" w:rsidRPr="005B4228" w:rsidRDefault="00A42D7A" w:rsidP="00A42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-приведение санитарно-гигиенических условий на животноводческих предприятиях в соответствие с нормативными требованиями. </w:t>
      </w:r>
    </w:p>
    <w:p w:rsidR="00A42D7A" w:rsidRPr="005F1B6A" w:rsidRDefault="00A42D7A" w:rsidP="00A42D7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9" w:name="_Toc363549734"/>
      <w:r w:rsidRPr="005F1B6A">
        <w:rPr>
          <w:rFonts w:ascii="Times New Roman" w:hAnsi="Times New Roman" w:cs="Times New Roman"/>
          <w:b/>
          <w:i/>
          <w:sz w:val="24"/>
          <w:szCs w:val="24"/>
        </w:rPr>
        <w:t>1.3 Зоны с особыми условиями использования территории</w:t>
      </w:r>
      <w:bookmarkEnd w:id="9"/>
    </w:p>
    <w:p w:rsidR="00A42D7A" w:rsidRPr="005B4228" w:rsidRDefault="00A42D7A" w:rsidP="00A42D7A">
      <w:pPr>
        <w:pStyle w:val="Default"/>
        <w:ind w:firstLine="709"/>
        <w:jc w:val="both"/>
      </w:pP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 xml:space="preserve">К зонам с особыми условиями использования территории относятся санитарно-защитные зоны предприятий, оказывающих негативное влияние на окружающую среду. В целях обеспечения безопасности населения и в соответствии с Федеральным законом "О санитарно-эпидемиологическом благополучии населения" от 30.03.1999г. N 52-ФЗ, вокруг объектов и производств, являющихся источниками воздействия на среду </w:t>
      </w:r>
      <w:r w:rsidRPr="005B4228">
        <w:lastRenderedPageBreak/>
        <w:t xml:space="preserve">обитания и здоровье человека, устанавливается специальная территория с особым режимом использования - санитарно-защитная зона (СЗЗ),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как до значений, установленных гигиеническими нормативами, так и до величин приемлемого риска для здоровья населения.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 </w:t>
      </w:r>
    </w:p>
    <w:p w:rsidR="00A42D7A" w:rsidRPr="00A85150" w:rsidRDefault="00A42D7A" w:rsidP="00A42D7A">
      <w:pPr>
        <w:pStyle w:val="Default"/>
        <w:ind w:firstLine="709"/>
        <w:jc w:val="both"/>
      </w:pPr>
      <w:r w:rsidRPr="005B4228">
        <w:t xml:space="preserve">Санитарно-защитные зоны объектов на территории МО </w:t>
      </w:r>
      <w:r w:rsidR="00CF7545" w:rsidRPr="00CF7545">
        <w:t>Верхнечебеньковский</w:t>
      </w:r>
      <w:r w:rsidRPr="005B4228">
        <w:t xml:space="preserve"> сельсовет </w:t>
      </w:r>
      <w:r>
        <w:t xml:space="preserve">должны быть </w:t>
      </w:r>
      <w:r w:rsidRPr="005B4228">
        <w:t xml:space="preserve">установлены в соответствии с </w:t>
      </w:r>
      <w:r w:rsidRPr="00A85150">
        <w:t>СанПиН 2.2.1/2.1.1.1200-03 «Санитарно-защитные зоны и санитарная классификация предприятий, сооружений и иных объектов».</w:t>
      </w:r>
    </w:p>
    <w:p w:rsidR="00A42D7A" w:rsidRPr="00A85150" w:rsidRDefault="00A42D7A" w:rsidP="00A42D7A">
      <w:pPr>
        <w:pStyle w:val="Default"/>
        <w:ind w:firstLine="709"/>
        <w:jc w:val="both"/>
      </w:pPr>
      <w:r w:rsidRPr="00A85150">
        <w:t>В соответствии с п. 25 Постановления Правительства РФ N 222 от 3 марта 2018 года Санитарно-защитная зона и ограничения использования земельных участков, расположенных в ее границах, считаются установленными со дня внесения сведений о такой зоне в Единый государственный реестр недвижимости. На сегодняшний денные о санитарно-защитных зонах в Едином государственном реестре недвижимости отсутствуют.</w:t>
      </w: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>При проектировании и строительстве водозаборных скважин и очистных сооружений необходимо предусмотреть ЗСО источников водоснабжения и СЗЗ от очистных сооружений.</w:t>
      </w: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>Охранные зоны объектов водоснабжения устанавливаются в соответствии с СанПиН 2.1.4.1110-02 «Зоны санитарной охраны источников водоснабжения и водопроводов питьевого назначения», утвержденных постановлением Главного государственного санитарного врача РФ от14 марта 2002 г. №10.</w:t>
      </w: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>Очистные сооружения должны соответствовать современным требованиям, СЗЗ должна быть не более 300 м.</w:t>
      </w: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>В соответствии с п.2.1 СанПиН 2.2.1/2.1.1.1200-03* для объектов, являющихся источниками воздействия на среду обитания, разрабатывается проект обоснования размера санитарно-защитной зоны. Ориентировочный размер санитарно-защитной зоны по классификации должен быть обоснован проектом санитарно-защитной с расчетами ожидаемого загрязнения атмосферного воздуха (с учетом фона) и уровней физического воздействия на атмосферный воздух и подтвержден результатами натурных исследований и измерений.</w:t>
      </w:r>
    </w:p>
    <w:p w:rsidR="00A42D7A" w:rsidRPr="005B4228" w:rsidRDefault="00A42D7A" w:rsidP="00A42D7A">
      <w:pPr>
        <w:pStyle w:val="Default"/>
        <w:ind w:firstLine="709"/>
        <w:jc w:val="both"/>
      </w:pPr>
      <w:r w:rsidRPr="005B4228">
        <w:t>В этих проектах предусматриваются конкретные мероприятия, учитывающие специфику предприятия и защиту от его вредных воздействий.</w:t>
      </w:r>
    </w:p>
    <w:p w:rsidR="00A42D7A" w:rsidRPr="005B4228" w:rsidRDefault="00A42D7A" w:rsidP="00A42D7A">
      <w:pPr>
        <w:pStyle w:val="2"/>
        <w:rPr>
          <w:rFonts w:ascii="Times New Roman" w:hAnsi="Times New Roman"/>
          <w:sz w:val="24"/>
          <w:szCs w:val="24"/>
        </w:rPr>
      </w:pPr>
      <w:bookmarkStart w:id="10" w:name="_Toc363549735"/>
      <w:bookmarkStart w:id="11" w:name="_Toc153266891"/>
      <w:r w:rsidRPr="005B4228">
        <w:rPr>
          <w:rFonts w:ascii="Times New Roman" w:hAnsi="Times New Roman"/>
          <w:sz w:val="24"/>
          <w:szCs w:val="24"/>
        </w:rPr>
        <w:t xml:space="preserve">2 </w:t>
      </w:r>
      <w:bookmarkEnd w:id="10"/>
      <w:r w:rsidRPr="005B4228">
        <w:rPr>
          <w:rFonts w:ascii="Times New Roman" w:hAnsi="Times New Roman"/>
          <w:sz w:val="24"/>
          <w:szCs w:val="24"/>
        </w:rPr>
        <w:t>Сведения о видах, назначении и наименованиях планируемых для размещения объектов регионального значения, их основные характеристики, их местоположение, а также характеристики зон с особыми условиями использования территорий</w:t>
      </w:r>
      <w:bookmarkEnd w:id="11"/>
    </w:p>
    <w:p w:rsidR="00A42D7A" w:rsidRPr="005B4228" w:rsidRDefault="00A42D7A" w:rsidP="00A42D7A">
      <w:pPr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_Toc363468509"/>
      <w:bookmarkStart w:id="13" w:name="_Toc363549736"/>
      <w:bookmarkStart w:id="14" w:name="_Toc153266892"/>
      <w:r w:rsidRPr="005B4228">
        <w:rPr>
          <w:rFonts w:ascii="Times New Roman" w:hAnsi="Times New Roman"/>
          <w:sz w:val="24"/>
          <w:szCs w:val="24"/>
        </w:rPr>
        <w:t>2.1 Функциональные зоны</w:t>
      </w:r>
      <w:bookmarkEnd w:id="12"/>
      <w:bookmarkEnd w:id="13"/>
      <w:bookmarkEnd w:id="14"/>
    </w:p>
    <w:p w:rsidR="00A42D7A" w:rsidRPr="00A42D7A" w:rsidRDefault="00A42D7A" w:rsidP="00A42D7A">
      <w:pPr>
        <w:pStyle w:val="22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A42D7A">
        <w:rPr>
          <w:lang w:val="ru-RU"/>
        </w:rPr>
        <w:t>Функциональное зонирование территории, с сохранением исторически сложившегося назначения территорий.</w:t>
      </w:r>
    </w:p>
    <w:p w:rsidR="00A42D7A" w:rsidRPr="00A42D7A" w:rsidRDefault="00A42D7A" w:rsidP="00A42D7A">
      <w:pPr>
        <w:pStyle w:val="22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lang w:val="ru-RU"/>
        </w:rPr>
      </w:pPr>
    </w:p>
    <w:p w:rsidR="00A42D7A" w:rsidRPr="005B4228" w:rsidRDefault="00A42D7A" w:rsidP="00A42D7A">
      <w:pPr>
        <w:pStyle w:val="16"/>
        <w:ind w:firstLine="780"/>
        <w:contextualSpacing/>
        <w:jc w:val="both"/>
        <w:rPr>
          <w:sz w:val="24"/>
          <w:szCs w:val="24"/>
        </w:rPr>
      </w:pPr>
      <w:r w:rsidRPr="005B4228">
        <w:rPr>
          <w:b/>
          <w:bCs/>
          <w:color w:val="000000"/>
          <w:sz w:val="24"/>
          <w:szCs w:val="24"/>
          <w:lang w:bidi="ru-RU"/>
        </w:rPr>
        <w:lastRenderedPageBreak/>
        <w:t>Назначение и параметры функциональных зон</w:t>
      </w:r>
    </w:p>
    <w:p w:rsidR="00A42D7A" w:rsidRPr="005B4228" w:rsidRDefault="00A42D7A" w:rsidP="00A42D7A">
      <w:pPr>
        <w:pStyle w:val="16"/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 xml:space="preserve">Функциональное зонирование муниципального образования </w:t>
      </w:r>
      <w:r w:rsidR="00CF7545" w:rsidRPr="00CF7545">
        <w:rPr>
          <w:color w:val="000000"/>
          <w:sz w:val="24"/>
          <w:szCs w:val="24"/>
          <w:lang w:bidi="ru-RU"/>
        </w:rPr>
        <w:t>Верхнечебеньковский</w:t>
      </w:r>
      <w:r w:rsidRPr="005B4228">
        <w:rPr>
          <w:color w:val="000000"/>
          <w:sz w:val="24"/>
          <w:szCs w:val="24"/>
          <w:lang w:bidi="ru-RU"/>
        </w:rPr>
        <w:t xml:space="preserve"> сельсовет представлено зонированием территорий в границах муниципального образования и в границах населённых пунктов.</w:t>
      </w:r>
    </w:p>
    <w:p w:rsidR="00A42D7A" w:rsidRPr="005B4228" w:rsidRDefault="00A42D7A" w:rsidP="00A42D7A">
      <w:pPr>
        <w:pStyle w:val="16"/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В границах муниципального образования территория зонирована по следующим видам:</w:t>
      </w:r>
    </w:p>
    <w:p w:rsidR="00A42D7A" w:rsidRPr="005B4228" w:rsidRDefault="00A42D7A" w:rsidP="005E2351">
      <w:pPr>
        <w:pStyle w:val="16"/>
        <w:numPr>
          <w:ilvl w:val="0"/>
          <w:numId w:val="6"/>
        </w:numPr>
        <w:tabs>
          <w:tab w:val="left" w:pos="1247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Зоны сельскохозяйственного использования;</w:t>
      </w:r>
    </w:p>
    <w:p w:rsidR="00A42D7A" w:rsidRPr="005B4228" w:rsidRDefault="00A42D7A" w:rsidP="005E2351">
      <w:pPr>
        <w:pStyle w:val="16"/>
        <w:numPr>
          <w:ilvl w:val="0"/>
          <w:numId w:val="6"/>
        </w:numPr>
        <w:tabs>
          <w:tab w:val="left" w:pos="1247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Производственная зона;</w:t>
      </w:r>
    </w:p>
    <w:p w:rsidR="00A42D7A" w:rsidRPr="005B4228" w:rsidRDefault="00A42D7A" w:rsidP="005E2351">
      <w:pPr>
        <w:pStyle w:val="16"/>
        <w:numPr>
          <w:ilvl w:val="0"/>
          <w:numId w:val="6"/>
        </w:numPr>
        <w:tabs>
          <w:tab w:val="left" w:pos="1247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Зона кладбищ;</w:t>
      </w:r>
    </w:p>
    <w:p w:rsidR="00A42D7A" w:rsidRPr="005B4228" w:rsidRDefault="00A42D7A" w:rsidP="005E2351">
      <w:pPr>
        <w:pStyle w:val="16"/>
        <w:numPr>
          <w:ilvl w:val="0"/>
          <w:numId w:val="6"/>
        </w:numPr>
        <w:tabs>
          <w:tab w:val="left" w:pos="1247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Зоны инженерной и транспортной инфраструктуры;</w:t>
      </w:r>
    </w:p>
    <w:p w:rsidR="00A42D7A" w:rsidRPr="005B4228" w:rsidRDefault="00A42D7A" w:rsidP="005E2351">
      <w:pPr>
        <w:pStyle w:val="16"/>
        <w:numPr>
          <w:ilvl w:val="0"/>
          <w:numId w:val="6"/>
        </w:numPr>
        <w:tabs>
          <w:tab w:val="left" w:pos="1247"/>
        </w:tabs>
        <w:spacing w:after="400"/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Зона рекреационного назначения;</w:t>
      </w:r>
    </w:p>
    <w:p w:rsidR="00A42D7A" w:rsidRPr="005B4228" w:rsidRDefault="00A42D7A" w:rsidP="00A42D7A">
      <w:pPr>
        <w:pStyle w:val="aff"/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В границах населённых пунктов определён следующий состав зон: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55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Зона застройки индивидуальными жилыми домами;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31"/>
          <w:tab w:val="left" w:pos="1255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Общественно-деловая зона;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26"/>
          <w:tab w:val="left" w:pos="1255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Производственная зона;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31"/>
          <w:tab w:val="left" w:pos="1255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Зона кладбищ;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22"/>
          <w:tab w:val="left" w:pos="1255"/>
        </w:tabs>
        <w:ind w:firstLine="780"/>
        <w:contextualSpacing/>
        <w:jc w:val="both"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>Зона инженерной инфраструктуры;</w:t>
      </w:r>
    </w:p>
    <w:p w:rsidR="00A42D7A" w:rsidRPr="005B4228" w:rsidRDefault="00A42D7A" w:rsidP="005E2351">
      <w:pPr>
        <w:pStyle w:val="aff"/>
        <w:numPr>
          <w:ilvl w:val="0"/>
          <w:numId w:val="7"/>
        </w:numPr>
        <w:tabs>
          <w:tab w:val="left" w:pos="1226"/>
          <w:tab w:val="left" w:pos="1255"/>
        </w:tabs>
        <w:ind w:firstLine="780"/>
        <w:contextualSpacing/>
        <w:jc w:val="both"/>
        <w:rPr>
          <w:color w:val="000000"/>
          <w:sz w:val="24"/>
          <w:szCs w:val="24"/>
          <w:lang w:bidi="ru-RU"/>
        </w:rPr>
      </w:pPr>
      <w:r w:rsidRPr="005B4228">
        <w:rPr>
          <w:color w:val="000000"/>
          <w:sz w:val="24"/>
          <w:szCs w:val="24"/>
          <w:lang w:bidi="ru-RU"/>
        </w:rPr>
        <w:t>Зона рекреационного назначения</w:t>
      </w:r>
    </w:p>
    <w:p w:rsidR="00A42D7A" w:rsidRPr="005B4228" w:rsidRDefault="00A42D7A" w:rsidP="00A42D7A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B4228">
        <w:rPr>
          <w:rFonts w:ascii="Times New Roman" w:hAnsi="Times New Roman" w:cs="Times New Roman"/>
          <w:color w:val="000000"/>
          <w:sz w:val="24"/>
          <w:szCs w:val="24"/>
          <w:lang w:bidi="ru-RU"/>
        </w:rPr>
        <w:br w:type="page"/>
      </w:r>
    </w:p>
    <w:p w:rsidR="00A42D7A" w:rsidRPr="005B4228" w:rsidRDefault="00A42D7A" w:rsidP="00A42D7A">
      <w:pPr>
        <w:pStyle w:val="aff"/>
        <w:tabs>
          <w:tab w:val="left" w:pos="1226"/>
          <w:tab w:val="left" w:pos="1255"/>
        </w:tabs>
        <w:ind w:left="780"/>
        <w:contextualSpacing/>
        <w:jc w:val="both"/>
        <w:rPr>
          <w:sz w:val="24"/>
          <w:szCs w:val="24"/>
        </w:rPr>
      </w:pPr>
    </w:p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2780"/>
        <w:gridCol w:w="3073"/>
        <w:gridCol w:w="1559"/>
        <w:gridCol w:w="1703"/>
      </w:tblGrid>
      <w:tr w:rsidR="00A42D7A" w:rsidRPr="005B4228" w:rsidTr="00A42D7A">
        <w:trPr>
          <w:trHeight w:hRule="exact" w:val="1323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spacing w:line="314" w:lineRule="auto"/>
              <w:ind w:left="180" w:firstLine="2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spacing w:line="259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Наименования функциональных зон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spacing w:line="276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Планируемые для размещения объекты федерального (Ф), регионального (Р), местного (М) значения</w:t>
            </w:r>
          </w:p>
        </w:tc>
        <w:tc>
          <w:tcPr>
            <w:tcW w:w="1559" w:type="dxa"/>
            <w:shd w:val="clear" w:color="auto" w:fill="auto"/>
          </w:tcPr>
          <w:p w:rsidR="00A42D7A" w:rsidRPr="005B4228" w:rsidRDefault="00A42D7A" w:rsidP="00A42D7A">
            <w:pPr>
              <w:pStyle w:val="aff"/>
              <w:spacing w:line="259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Максимальная этажность застройки зоны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tabs>
                <w:tab w:val="left" w:pos="725"/>
              </w:tabs>
              <w:spacing w:line="286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Максимально допустимый коэфицент застройки, (%)</w:t>
            </w:r>
          </w:p>
        </w:tc>
      </w:tr>
      <w:tr w:rsidR="00A42D7A" w:rsidRPr="005B4228" w:rsidTr="00A42D7A">
        <w:trPr>
          <w:trHeight w:hRule="exact" w:val="989"/>
          <w:jc w:val="center"/>
        </w:trPr>
        <w:tc>
          <w:tcPr>
            <w:tcW w:w="497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spacing w:line="266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  <w:tc>
          <w:tcPr>
            <w:tcW w:w="3092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42D7A" w:rsidRPr="005B4228" w:rsidTr="00A42D7A">
        <w:trPr>
          <w:trHeight w:hRule="exact" w:val="561"/>
          <w:jc w:val="center"/>
        </w:trPr>
        <w:tc>
          <w:tcPr>
            <w:tcW w:w="497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785" w:type="dxa"/>
            <w:shd w:val="clear" w:color="auto" w:fill="auto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общественно-деловые</w:t>
            </w:r>
          </w:p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зоны</w:t>
            </w:r>
          </w:p>
        </w:tc>
        <w:tc>
          <w:tcPr>
            <w:tcW w:w="3092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42D7A" w:rsidRPr="005B4228" w:rsidTr="00A42D7A">
        <w:trPr>
          <w:trHeight w:hRule="exact" w:val="571"/>
          <w:jc w:val="center"/>
        </w:trPr>
        <w:tc>
          <w:tcPr>
            <w:tcW w:w="497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2785" w:type="dxa"/>
            <w:shd w:val="clear" w:color="auto" w:fill="auto"/>
            <w:vAlign w:val="bottom"/>
          </w:tcPr>
          <w:p w:rsidR="00A42D7A" w:rsidRPr="005B4228" w:rsidRDefault="00A42D7A" w:rsidP="00A42D7A">
            <w:pPr>
              <w:pStyle w:val="aff"/>
              <w:spacing w:line="259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зона инженерной инфраструктуры</w:t>
            </w:r>
          </w:p>
        </w:tc>
        <w:tc>
          <w:tcPr>
            <w:tcW w:w="3092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60</w:t>
            </w:r>
          </w:p>
        </w:tc>
      </w:tr>
      <w:tr w:rsidR="00A42D7A" w:rsidRPr="005B4228" w:rsidTr="00A42D7A">
        <w:trPr>
          <w:trHeight w:hRule="exact" w:val="571"/>
          <w:jc w:val="center"/>
        </w:trPr>
        <w:tc>
          <w:tcPr>
            <w:tcW w:w="497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785" w:type="dxa"/>
            <w:shd w:val="clear" w:color="auto" w:fill="auto"/>
            <w:vAlign w:val="bottom"/>
          </w:tcPr>
          <w:p w:rsidR="00A42D7A" w:rsidRPr="005B4228" w:rsidRDefault="00A42D7A" w:rsidP="00A42D7A">
            <w:pPr>
              <w:pStyle w:val="aff"/>
              <w:spacing w:line="259" w:lineRule="auto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зона транспортной инфраструктуры</w:t>
            </w:r>
          </w:p>
        </w:tc>
        <w:tc>
          <w:tcPr>
            <w:tcW w:w="3092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60</w:t>
            </w:r>
          </w:p>
        </w:tc>
      </w:tr>
      <w:tr w:rsidR="00A42D7A" w:rsidRPr="005B4228" w:rsidTr="00A42D7A">
        <w:trPr>
          <w:trHeight w:hRule="exact" w:val="840"/>
          <w:jc w:val="center"/>
        </w:trPr>
        <w:tc>
          <w:tcPr>
            <w:tcW w:w="497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зоны</w:t>
            </w:r>
          </w:p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сельскохозяйственного</w:t>
            </w:r>
          </w:p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использования</w:t>
            </w:r>
          </w:p>
        </w:tc>
        <w:tc>
          <w:tcPr>
            <w:tcW w:w="3092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42D7A" w:rsidRPr="005B4228" w:rsidRDefault="00A42D7A" w:rsidP="00A4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2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60</w:t>
            </w:r>
          </w:p>
        </w:tc>
      </w:tr>
      <w:tr w:rsidR="00A42D7A" w:rsidRPr="005B4228" w:rsidTr="00A42D7A">
        <w:trPr>
          <w:trHeight w:hRule="exact" w:val="346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ind w:firstLine="18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зона кладбищ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ind w:firstLine="160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A42D7A" w:rsidRPr="005B4228" w:rsidRDefault="00A42D7A" w:rsidP="00A42D7A">
            <w:pPr>
              <w:pStyle w:val="aff"/>
              <w:jc w:val="center"/>
              <w:rPr>
                <w:sz w:val="24"/>
                <w:szCs w:val="24"/>
              </w:rPr>
            </w:pPr>
            <w:r w:rsidRPr="005B4228">
              <w:rPr>
                <w:color w:val="000000"/>
                <w:sz w:val="24"/>
                <w:szCs w:val="24"/>
                <w:lang w:bidi="ru-RU"/>
              </w:rPr>
              <w:t>20</w:t>
            </w:r>
          </w:p>
        </w:tc>
      </w:tr>
    </w:tbl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42D7A" w:rsidRPr="005B4228" w:rsidRDefault="00A42D7A" w:rsidP="00A42D7A">
      <w:pPr>
        <w:pStyle w:val="aff"/>
        <w:tabs>
          <w:tab w:val="left" w:pos="1255"/>
        </w:tabs>
        <w:ind w:left="780"/>
        <w:rPr>
          <w:sz w:val="24"/>
          <w:szCs w:val="24"/>
        </w:rPr>
      </w:pPr>
      <w:r w:rsidRPr="005B4228">
        <w:rPr>
          <w:b/>
          <w:i/>
          <w:color w:val="000000"/>
          <w:sz w:val="24"/>
          <w:szCs w:val="24"/>
          <w:lang w:bidi="ru-RU"/>
        </w:rPr>
        <w:t>Зона застройки индивидуальными жилыми домами</w:t>
      </w:r>
    </w:p>
    <w:p w:rsidR="00A42D7A" w:rsidRPr="005B4228" w:rsidRDefault="00A42D7A" w:rsidP="00A42D7A">
      <w:pPr>
        <w:pStyle w:val="aff"/>
        <w:tabs>
          <w:tab w:val="left" w:pos="1255"/>
        </w:tabs>
        <w:ind w:firstLine="567"/>
        <w:contextualSpacing/>
        <w:rPr>
          <w:sz w:val="24"/>
          <w:szCs w:val="24"/>
        </w:rPr>
      </w:pPr>
      <w:r w:rsidRPr="005B4228">
        <w:rPr>
          <w:color w:val="000000"/>
          <w:sz w:val="24"/>
          <w:szCs w:val="24"/>
          <w:lang w:bidi="ru-RU"/>
        </w:rPr>
        <w:t xml:space="preserve">Зоны застройки индивидуальными жилыми домами </w:t>
      </w:r>
      <w:r w:rsidRPr="005B4228">
        <w:rPr>
          <w:sz w:val="24"/>
          <w:szCs w:val="24"/>
        </w:rPr>
        <w:t>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42.13330.2016 «Градостроительство. Планировка и застройка городских и сельских поселений», не допускается размещать в жилых зонах.</w:t>
      </w:r>
    </w:p>
    <w:p w:rsidR="00A42D7A" w:rsidRPr="005B4228" w:rsidRDefault="00A42D7A" w:rsidP="00A42D7A">
      <w:pPr>
        <w:pStyle w:val="aff"/>
        <w:tabs>
          <w:tab w:val="left" w:pos="1255"/>
        </w:tabs>
        <w:ind w:firstLine="567"/>
        <w:contextualSpacing/>
        <w:rPr>
          <w:sz w:val="24"/>
          <w:szCs w:val="24"/>
        </w:rPr>
      </w:pPr>
      <w:r w:rsidRPr="005B4228">
        <w:rPr>
          <w:sz w:val="24"/>
          <w:szCs w:val="24"/>
        </w:rPr>
        <w:t xml:space="preserve">В </w:t>
      </w:r>
      <w:r w:rsidRPr="005B4228">
        <w:rPr>
          <w:color w:val="000000"/>
          <w:sz w:val="24"/>
          <w:szCs w:val="24"/>
          <w:lang w:bidi="ru-RU"/>
        </w:rPr>
        <w:t xml:space="preserve">зонах застройки индивидуальными жилыми домами </w:t>
      </w:r>
      <w:r w:rsidRPr="005B4228">
        <w:rPr>
          <w:sz w:val="24"/>
          <w:szCs w:val="24"/>
        </w:rPr>
        <w:t>размещаются дома усадебные с приусадебными участками; отдельно стоящие, встроенные или пристроенные объекты социального и культурно-бытового обслуживания населения с учетом социальных нормативов обеспеченности (в т.ч. услуги первой необходимости в пределах пешеходной доступности не более 30 мин.); гаражи и автостоянки для легковых автомобилей; культовые объекты.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м.)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К жилым зонам относятся также территории садово-дачной застройки, расположенной в пределах границ населенного пункта.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Для жителей многоквартирных жилых домов хозяйственные постройки для скота и птицы могут выделяться за пределами жилой зоны; при многоквартирных домах допускается устройство встроенных или отдельно стоящих коллективных подземных хранилищ сельскохозяйственных продуктов.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основе проектных решений по формированию жилой среды использовались следующие принципы: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lastRenderedPageBreak/>
        <w:t>- изыскание наиболее пригодных площадок для нового жилищного строительства на возвышенных местах с глубоким стоянием грунтовых вод, хорошо инсолируемых, расположенных выше по рельефу и течению рек по отношению к производственным объектам;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увеличение темпов индивидуального жилищного строительства с учетом привлечения различных внебюджетных и негосударственных источников, в том числе привлечения средств граждан и за счёт участия в государственных и областных целевых программах;</w:t>
      </w:r>
    </w:p>
    <w:p w:rsidR="00A42D7A" w:rsidRPr="005B4228" w:rsidRDefault="00A42D7A" w:rsidP="00A42D7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выход на показатель обеспеченности не менее 30 м кв. общей площади на человека.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Такой подход позволит значительно улучшить жилую среду, оптимизировать затраты на создание полноценной социальной и инженерной инфраструктуры.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iCs/>
          <w:sz w:val="24"/>
          <w:szCs w:val="24"/>
        </w:rPr>
        <w:t>Основные проектные предложения в решении жилищной проблемы и новая жилищная политика</w:t>
      </w:r>
      <w:r w:rsidRPr="005B4228">
        <w:rPr>
          <w:rFonts w:ascii="Times New Roman" w:hAnsi="Times New Roman" w:cs="Times New Roman"/>
          <w:sz w:val="24"/>
          <w:szCs w:val="24"/>
        </w:rPr>
        <w:t>: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освоение новых площадок под жилищное строительство;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- наращивание темпов строительства жилья за счет индивидуального строительства;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- обустройство жилых домов инженерной инфраструктурой;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- ликвидация ветхого, аварийного фонда;        </w:t>
      </w:r>
    </w:p>
    <w:p w:rsidR="00A42D7A" w:rsidRPr="005B4228" w:rsidRDefault="00A42D7A" w:rsidP="00A42D7A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поддержка стремления граждан строить и жить в собственных жилых домах, путем предоставления льготных жилищных кредитов, решения проблем инженерного обеспечения, частично компенсируемого из средств бюджета, создания облегченной и контролируемой системы предоставления участков и их застройку.</w:t>
      </w:r>
    </w:p>
    <w:p w:rsidR="00A42D7A" w:rsidRPr="005B4228" w:rsidRDefault="00A42D7A" w:rsidP="00A42D7A">
      <w:pPr>
        <w:tabs>
          <w:tab w:val="left" w:pos="5745"/>
        </w:tabs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  <w:u w:val="single"/>
        </w:rPr>
        <w:t>Основные параметры жилых зон:</w:t>
      </w:r>
      <w:r w:rsidRPr="005B4228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</w:rPr>
        <w:t>Тип застройки – усадебный.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</w:rPr>
        <w:t>Площадь участка под индивидуальную застройку  - 15 соток.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</w:rPr>
        <w:t>Этажность – до 3 этажей.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</w:rPr>
        <w:t>Плотность населения – 17 человек на 1 га (средний состав семьи 3,5 чел.).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Расстояния между жилыми зданиями, жилыми и общественными, следует принимать на основе расчетов инсоляции и освещенности в соответствии с требованиями, приведенными в СП 52.13330, а также в соответствии с требованиями глав 15-16 «Требования пожарной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округов» Технического регламента о требованиях пожарной безопасности (Федеральный закон от 22 июля 2008 г. № 123-ФЗ).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 Бытовые разрывы между длинными сторонами жилых зданий высотой 2-3 этажа следует принимать не менее 15 м; между длинными сторонами и торцами этих же зданий с окнами из жилых комнат – не менее 10 м. 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В районах усадебной и садово-дачной застройки расстояния от окон жилых помещений до стен дома и хозяйственных построек, расположенных на соседних участках, должны быть не менее 6 м, а расстояния до сарая для содержания скота и птицы – 10 м. Расстояние до границы участка должно быть от стены жилого дома 3 м., от хозяйственных построек – 1 м.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</w:t>
      </w:r>
      <w:r w:rsidRPr="005B422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противопожарных требований. Указанные нормы распространяются и на пристраиваемые к существующим жилым домам хозяйственные постройки.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одиночные или двойные - 10, до 8 блоков - 25, свыше 8 до 30 блоков - 50. Площадь застройки сблокированных сараев не должна превышать 800 кв.м. Расстояние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застройки.</w:t>
      </w:r>
    </w:p>
    <w:p w:rsidR="00A42D7A" w:rsidRPr="005B4228" w:rsidRDefault="00A42D7A" w:rsidP="00A42D7A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Общественно-деловая зона, зона рекреационного назначения. Развитие системы центров.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Общественно-деловые зоны</w:t>
      </w:r>
      <w:r w:rsidRPr="005B4228">
        <w:rPr>
          <w:rFonts w:ascii="Times New Roman" w:hAnsi="Times New Roman" w:cs="Times New Roman"/>
          <w:bCs/>
          <w:sz w:val="24"/>
          <w:szCs w:val="24"/>
        </w:rPr>
        <w:t xml:space="preserve">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профессионального образования, административных учреждений, культовых зданий, стоянок автотранспорта, объектов делового, финансового назначения, иных объектов, связанных с обеспечением жизнедеятельности граждан. В перечень объектов недвижимости, разрешенных к размещению в общественно-деловых зонах, могут включаться жилые дома, гостиницы, подземные гаражи.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Общественно-деловые зоны запланированы в привязке к сложившимся центрам, с учётом размещения в них расчётного количества основных объектов соцкультбыта.</w:t>
      </w:r>
    </w:p>
    <w:p w:rsidR="00A42D7A" w:rsidRPr="005B4228" w:rsidRDefault="00A42D7A" w:rsidP="00A42D7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Cs/>
          <w:i/>
          <w:sz w:val="24"/>
          <w:szCs w:val="24"/>
          <w:u w:val="single"/>
        </w:rPr>
        <w:t>Параметры застройки общественно-деловых зон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Предельные значения коэффициентов застройки и коэффициентов плотности застройки территории общественно-деловых зон принимается согласно правил землепользования и застройки.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Предельные значения параметров земельных участков и разрешенного строительства в общественно-деловых зонах устанавливаются посредством подготовки проектов планировки территории.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/>
          <w:bCs/>
          <w:sz w:val="24"/>
          <w:szCs w:val="24"/>
          <w:u w:val="single"/>
        </w:rPr>
        <w:t>Рекреационные зоны</w:t>
      </w:r>
      <w:r w:rsidRPr="005B4228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Pr="005B4228">
        <w:rPr>
          <w:rFonts w:ascii="Times New Roman" w:hAnsi="Times New Roman" w:cs="Times New Roman"/>
          <w:bCs/>
          <w:sz w:val="24"/>
          <w:szCs w:val="24"/>
        </w:rPr>
        <w:t>ключают в себя парки, скверы, бульвары.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В состав зон рекреационного назначения могут включаться зоны в границах территорий, занятых лесами, скверами, парками, садами, прудами, озерами, </w:t>
      </w:r>
      <w:r w:rsidRPr="005B4228">
        <w:rPr>
          <w:rFonts w:ascii="Times New Roman" w:hAnsi="Times New Roman" w:cs="Times New Roman"/>
          <w:bCs/>
          <w:sz w:val="24"/>
          <w:szCs w:val="24"/>
        </w:rPr>
        <w:lastRenderedPageBreak/>
        <w:t>водохранилищами, пляжами,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При размещении скверов и садов следует максимально сохранять участки с существующими насаждениями и водоемами.</w:t>
      </w:r>
    </w:p>
    <w:p w:rsidR="00A42D7A" w:rsidRPr="005B4228" w:rsidRDefault="00A42D7A" w:rsidP="00A42D7A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 </w:t>
      </w:r>
    </w:p>
    <w:p w:rsidR="00A42D7A" w:rsidRPr="005B4228" w:rsidRDefault="00A42D7A" w:rsidP="00A42D7A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 xml:space="preserve">За границами населенных пунктов </w:t>
      </w:r>
      <w:r w:rsidRPr="005B4228">
        <w:rPr>
          <w:rFonts w:ascii="Times New Roman" w:hAnsi="Times New Roman" w:cs="Times New Roman"/>
          <w:sz w:val="24"/>
          <w:szCs w:val="24"/>
        </w:rPr>
        <w:t>к зонам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граждан, в том числе: пригородные зеленые зоны, леса (при наличии памятников, природных и лечебных ресурсов, курортных зон), городские леса и парки, охраняемые природные ландшафты, этнографические и усадебные парки, памятники садово-паркового искусства, охраняемые береговые линии, охраняемые речные системы, биологические станции, микрозаповедники и другие объекты.</w:t>
      </w:r>
    </w:p>
    <w:p w:rsidR="00A42D7A" w:rsidRPr="005B4228" w:rsidRDefault="00A42D7A" w:rsidP="00A42D7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состав зон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A42D7A" w:rsidRPr="005B4228" w:rsidRDefault="00A42D7A" w:rsidP="00A42D7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На землях рекреационного назначения запрещается деятельность, не соответствующая их целевому назначению.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На озелененных территориях городских округов и поселений запрещается хозяйственная деятельность, отрицательно влияющая на выполнение ими экологических, санитарно-гигиенических и рекреационных функций. Все городские леса относятся к первой группе лесов и используются в соответствии с требованиями Лесного кодекса и настоящих нормативов.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2D7A" w:rsidRPr="005B4228" w:rsidRDefault="00A42D7A" w:rsidP="00A42D7A">
      <w:pPr>
        <w:tabs>
          <w:tab w:val="left" w:pos="5745"/>
        </w:tabs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  <w:u w:val="single"/>
        </w:rPr>
        <w:t>Основные параметры рекреационной зоны:</w:t>
      </w:r>
      <w:r w:rsidRPr="005B4228">
        <w:rPr>
          <w:rFonts w:ascii="Times New Roman" w:hAnsi="Times New Roman" w:cs="Times New Roman"/>
          <w:bCs/>
          <w:sz w:val="24"/>
          <w:szCs w:val="24"/>
        </w:rPr>
        <w:tab/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Площадь территории садов и скверов не менее, га: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-садов жилых районов ..................................  3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228">
        <w:rPr>
          <w:rFonts w:ascii="Times New Roman" w:hAnsi="Times New Roman" w:cs="Times New Roman"/>
          <w:bCs/>
          <w:sz w:val="24"/>
          <w:szCs w:val="24"/>
        </w:rPr>
        <w:t>-скверов .......................................................  0,5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Производственная зона. Зоны транспортной и инженерной инфраструктур. 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состав производственных зон, зон инженерной и транспортной инфраструктур могут включаться: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lastRenderedPageBreak/>
        <w:t>-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производственные зоны -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- иные виды производственной (научно-производственные зоны), инженерной и транспортной инфраструктур.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/>
          <w:sz w:val="24"/>
          <w:szCs w:val="24"/>
          <w:u w:val="single"/>
        </w:rPr>
        <w:t>В производственных зонах</w:t>
      </w:r>
      <w:r w:rsidRPr="005B4228">
        <w:rPr>
          <w:rFonts w:ascii="Times New Roman" w:hAnsi="Times New Roman" w:cs="Times New Roman"/>
          <w:sz w:val="24"/>
          <w:szCs w:val="24"/>
        </w:rPr>
        <w:t xml:space="preserve">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Примечания. 1.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2. При реконструкции объектов сложившейся производственной застройки, являющихся памятниками истории и культуры, необходимо предусматривать меры по сохранению их исторического облика.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Примечание. Участки санитарно-защитных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lastRenderedPageBreak/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Примечания. 1. 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промышленной зоны, определенной генеральным планом города. Занятые территории могут включать резервные участки на площадках предприятий и других объектов, намеченные в соответствии с заданием на проектирование для размещения на них зданий и сооружений.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2.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3. Плотность застройки кварталов, занимаемых промышленными предприятиями и другими объектами, как правило, не должна превышать показателей, приведенных в Приложении Г СП 42.13330.2011.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об охране подземных вод.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предприятий.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Минимальную площадь озеленения санитарно-защитных зон следует принимать в зависимость от ширины зоны, %: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до 300 м ................................................  60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св. 300 до 1000 м .................................. 50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" 1000 " 3000 м ..................................... 40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" 3000 м ................................................. 20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 xml:space="preserve">Для объектов по изготовлению и хранению взрывчатых материалов и изделий на их основе (организаций, арсеналов, баз, складов ВМ) следует предусматривать запретные (опасные) зоны и районы. Размеры этих зон и районов определяются специальными нормативными документами Ростехнадзора (едиными правилами безопасности при взрывных работах) и других федеральных органов исполнительной власти, в ведении которых находятся указанные объекты. Застройка запретных (опасных) зон жилыми, общественными и производственными зданиями и сооружениями не допускается. В случае особой необходимости строительство зданий, сооружений и других объектов на территории </w:t>
      </w:r>
      <w:r w:rsidRPr="005B4228">
        <w:rPr>
          <w:rFonts w:ascii="Times New Roman" w:hAnsi="Times New Roman" w:cs="Times New Roman"/>
          <w:sz w:val="24"/>
          <w:szCs w:val="24"/>
        </w:rPr>
        <w:lastRenderedPageBreak/>
        <w:t>запретной (опасной) зоны может осуществляться по согласованию с организацией, в ведении которой находится склад, и органами местного самоуправления районов.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составе научно-производственных зон следует размещать учреждения науки и научного обслуживания, опытные производства и связанные с ними высшие и средние учебные заведения, гостиницы, учреждения и предприятия обслуживания, а также инженерные и транспортные коммуникации и сооружения.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Состав научно-производственных и условия размещения отдельных НИИ и опытных производств следует определять с учетом факторов влияния на окружающую среду.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 размещении опытных производств, не требующих санитарно-защитных зон шириной более 50 м, в научно-производственных зонах допускается размещать жилую застройку, формируя их по типу зон смешанной застройки.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На территориях коммунально-складских зон (районов) следует размещать предприятия пищевой (пищевкусовой, мясной и молочной) промышленности, общетоварные (продовольственные и непродовольственные), специализированные склады (холодильники, картофеле-, овоще-, фруктохранилища), предприятия коммунального, транспортного и бытового обслуживания населения города.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Систему складских комплексов, не связанных с непосредственным повседневным обслуживанием населения, следует формировать за пределами крупных и крупнейших городов, приближая их к узлам внешнего, преимущественно железнодорожного транспорта, логистическим комплексам.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За пределами территории городов, в обособленных складских районах с соблюдением санитарных, противопожарных и специальных норм следует предусматривать рассредоточенное размещение складов государственных резервов, складов нефти и нефтепродуктов первой группы, перевалочных баз нефти и нефтепродуктов, складов сжиженных газов, складов взрывчатых материалов и базисных складов сильнодействующих ядовитых веществ, базисных складов продовольствия, фуража и промышленного сырья, лесоперевалочных баз базисных складов лесных и строительных материалов.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 размещении складов всех видов необходимо максимально использовать подземное пространство. Допускается при наличии отработанных горных выработок и участков недр, пригодных для размещения в них объектов, осуществлять строительство хранилищ продовольственных и промышленных товаров, ценной документации, распределительных холодильников и других объектов, требующих обеспечения устойчивости к внешним воздействиям и надежности функционирования. Размещение объектов следует осуществлять в соответствии с требованиями нормативных документов Ростехнадзора, регламентирующих использование подземного пространства в целях, не связанных с добычей полезных ископаемых (ПБ-03-428 [17]).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Размеры земельных участков, площадь зданий и вместимость складов, предназначенных для обслуживания поселений, определяются региональными градостроительными нормативами или на основе расчета. Раз</w:t>
      </w:r>
      <w:r w:rsidR="009B36B7">
        <w:rPr>
          <w:rFonts w:ascii="Times New Roman" w:hAnsi="Times New Roman" w:cs="Times New Roman"/>
          <w:sz w:val="24"/>
          <w:szCs w:val="24"/>
        </w:rPr>
        <w:t xml:space="preserve">меры санитарно-защитных зон для </w:t>
      </w:r>
      <w:r w:rsidRPr="005B4228">
        <w:rPr>
          <w:rFonts w:ascii="Times New Roman" w:hAnsi="Times New Roman" w:cs="Times New Roman"/>
          <w:sz w:val="24"/>
          <w:szCs w:val="24"/>
        </w:rPr>
        <w:t xml:space="preserve">картофеле-, овоще- и фруктохранилищ следует принимать не менее 50 м; предусматривать меры по защите жилых и общественно-деловых зон от неблагоприятного влияния производственных комплексов, а также самих этих комплексов, если они связаны с </w:t>
      </w:r>
      <w:r w:rsidRPr="005B4228">
        <w:rPr>
          <w:rFonts w:ascii="Times New Roman" w:hAnsi="Times New Roman" w:cs="Times New Roman"/>
          <w:sz w:val="24"/>
          <w:szCs w:val="24"/>
        </w:rPr>
        <w:lastRenderedPageBreak/>
        <w:t>производством пищевых продуктов, от загрязнений и вредных воздействий иных производств, транспортных и коммунальных сооружений. Меры по исключению загрязнения почв, поверхностных и подземных вод, поверхностных водосборов, водоемов и атмосферного воздуха должны соответствовать санитарным нормам.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 формировании производственных зон сельских поселений расстояния между сельскохозяйственными предприятиями, зданиями и сооружениями следует предусматривать минимально допустимые исходя из санитарных, ветеринарных, противопожарных требований и норм технологического проектирования.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На территории животноводческих комплексов и ферм и в их санитарно-защитных зонах не допускается размещать предприятия по переработке сельскохозяйственной продукции, объекты питания и объекты, к ним приравненные.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Объекты с размерами санитарно-защитной зоны свыше 300 м следует размещать на обособленных земельных участках за пределами границ сельских населенных пунктов.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Линии электропередачи, связи и других линейных сооружений местного значения следует размещать по границам полей севооборотов вдоль дорог, лесополос, существующих трасс с таким расчетом, чтобы обеспечивался свободный доступ к коммуникациям с территорий, не занятых сельскохозяйственными угодьями.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Производственные зоны сельских поселений, как правило, не должны быть разделены на обособленные участки железными и автомобильными дорогами общей сети.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При размещении сельскохозяйственных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8.6 и раздела 14 настоящего свода правил.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b/>
          <w:sz w:val="24"/>
          <w:szCs w:val="24"/>
          <w:u w:val="single"/>
        </w:rPr>
        <w:t>Зоны транспортной и инженерной инфраструктур</w:t>
      </w:r>
      <w:r w:rsidRPr="005B4228">
        <w:rPr>
          <w:rFonts w:ascii="Times New Roman" w:hAnsi="Times New Roman" w:cs="Times New Roman"/>
          <w:sz w:val="24"/>
          <w:szCs w:val="24"/>
        </w:rPr>
        <w:t xml:space="preserve"> следует предусматривать для размещения сооружений и коммуникаций железнодорожного, автомобильного транспорта, связи, инженерного оборудования с учетом их перспективного развития.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целях обеспечения нормальной эксплуатации сооружений, устройства других объектов внешнего транспорта допускается устанавливать охранные зоны.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Отвод земель для сооружений и устройств внешнего транспорта осуществляется в установленном порядке. Режим использования этих земель определяется градостроительной документацией в соответствии с действующим законодательством.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Размещение сооружений, коммуникаций и других объектов транспорта на территории поселений должно соответствовать требованиям, приведенным в разделах 14 и 15 СП 42.13330.2011.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Для предотвращения неблагоприятных воздействий при эксплуатации объектов транспорта, связи, инженерных коммуникаций устанавливаются санитарно-защитные зоны от этих объектов до границ территорий жилых, общественно-деловых и рекреационных зон.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Территории в границах отвода сооружений и коммуникаций транспорта, связи, инженерного оборудования и их санитарно-защитных зон подлежат благоустройству и озеленению с учетом технических и эксплуатационных характеристик этих объектов.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lastRenderedPageBreak/>
        <w:t>Сооружения и коммуникации транспорта, связи, инженерного оборудования, эксплуатация которых оказывает прямое или косвенное воздействие на безопасность населения, размещаются за пределами поселений.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Зона сельскохозяйственного использования (в границах МО) 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явлений, водными объектами, а также зданиями, строениями, сооружениями, используемыми для производства, хранения и первичной переработки сельскохозяйственной продукции.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Земли сельскохозяйственного использования могут использоваться для ведения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целей: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-гражданами, в том числе ведущими крестьянские (фермерские) хозяйства, личные подсобные хозяйства, садоводство, животноводство, огородничество;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-хозяйственными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-некоммерческими организациями, в том числе потребительскими кооперативами, религиозными организациями;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-казачьими обществами;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-опытно-производственными, учебными, учебно-опытными и учебно-производственными подразделениями научно-исследовательских организаций, образовательных учреждений сельскохозяйственного профиля и общеобразовательных учреждений;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>Использование земель сельскохозяйственного назначения или земельных участков в составе таких земель, предоставляемых на период осуществления строительства дорог, линий электропередачи, линий связи (в том числе линейно-кабельных сооружений), нефтепроводов, газопроводов и иных трубопроводов,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категорий.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</w:t>
      </w: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</w:t>
      </w:r>
    </w:p>
    <w:p w:rsidR="00A42D7A" w:rsidRPr="005B4228" w:rsidRDefault="00A42D7A" w:rsidP="00A42D7A">
      <w:pPr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Зона сельскохозяйственного использования (в границах населённых пунктов)</w:t>
      </w:r>
    </w:p>
    <w:p w:rsidR="00A42D7A" w:rsidRPr="005B4228" w:rsidRDefault="00A42D7A" w:rsidP="00A42D7A">
      <w:pPr>
        <w:pStyle w:val="14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4228">
        <w:rPr>
          <w:rFonts w:ascii="Times New Roman" w:hAnsi="Times New Roman" w:cs="Times New Roman"/>
          <w:sz w:val="24"/>
          <w:szCs w:val="24"/>
          <w:lang w:eastAsia="ru-RU"/>
        </w:rPr>
        <w:t xml:space="preserve">Земельные участки в составе зон сельскохозяйственного использования в населенных пунктах - земельные участки, занятые пашнями, многолетними насаждениями, а также зданиями, строениями, сооружениями сельскохозяйственного назначения, - используются в </w:t>
      </w:r>
      <w:r w:rsidRPr="005B422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застройки.</w:t>
      </w:r>
    </w:p>
    <w:p w:rsidR="00A42D7A" w:rsidRPr="005B4228" w:rsidRDefault="00A42D7A" w:rsidP="00A42D7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keepNext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4228">
        <w:rPr>
          <w:rFonts w:ascii="Times New Roman" w:hAnsi="Times New Roman" w:cs="Times New Roman"/>
          <w:b/>
          <w:i/>
          <w:sz w:val="24"/>
          <w:szCs w:val="24"/>
          <w:u w:val="single"/>
        </w:rPr>
        <w:t>Зона специального назначения</w:t>
      </w:r>
    </w:p>
    <w:p w:rsidR="00A42D7A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4228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A42D7A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pStyle w:val="2"/>
        <w:spacing w:before="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5" w:name="_Toc363549737"/>
      <w:bookmarkStart w:id="16" w:name="_Toc153266893"/>
      <w:r w:rsidRPr="005B4228"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228">
        <w:rPr>
          <w:rFonts w:ascii="Times New Roman" w:hAnsi="Times New Roman"/>
          <w:sz w:val="24"/>
          <w:szCs w:val="24"/>
        </w:rPr>
        <w:t>Сведения об объектах федерального и регионального значения</w:t>
      </w:r>
      <w:bookmarkEnd w:id="15"/>
      <w:bookmarkEnd w:id="16"/>
    </w:p>
    <w:p w:rsidR="00A42D7A" w:rsidRPr="005B4228" w:rsidRDefault="00A42D7A" w:rsidP="00A42D7A">
      <w:pPr>
        <w:pStyle w:val="15"/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A42D7A" w:rsidRPr="005B4228" w:rsidRDefault="00A42D7A" w:rsidP="00A42D7A">
      <w:pPr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>Схема территориального планирования Оренбургской области (далее - СТП области) была утверждена Постановлением Правительства Оренбургской области № 579-п от 07.07.11г.</w:t>
      </w:r>
    </w:p>
    <w:p w:rsidR="00A42D7A" w:rsidRPr="005B4228" w:rsidRDefault="00A42D7A" w:rsidP="00A42D7A">
      <w:pPr>
        <w:tabs>
          <w:tab w:val="left" w:pos="993"/>
        </w:tabs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42D7A" w:rsidRPr="005B4228" w:rsidRDefault="00A42D7A" w:rsidP="00A42D7A">
      <w:pPr>
        <w:tabs>
          <w:tab w:val="left" w:pos="993"/>
        </w:tabs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Согласно данным СТП Оренбургской области на территории МО </w:t>
      </w:r>
      <w:r>
        <w:rPr>
          <w:rFonts w:ascii="Times New Roman" w:hAnsi="Times New Roman" w:cs="Times New Roman"/>
          <w:sz w:val="24"/>
          <w:szCs w:val="24"/>
          <w:lang w:eastAsia="ar-SA"/>
        </w:rPr>
        <w:t>Сакмарский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 </w:t>
      </w:r>
      <w:r>
        <w:rPr>
          <w:rFonts w:ascii="Times New Roman" w:hAnsi="Times New Roman" w:cs="Times New Roman"/>
          <w:sz w:val="24"/>
          <w:szCs w:val="24"/>
          <w:lang w:eastAsia="ar-SA"/>
        </w:rPr>
        <w:t>Сакмарского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находятся дороги регионального или межмуниципального значения.</w:t>
      </w:r>
    </w:p>
    <w:p w:rsidR="00A42D7A" w:rsidRPr="005B4228" w:rsidRDefault="00A42D7A" w:rsidP="00A42D7A">
      <w:pPr>
        <w:spacing w:line="24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B4228">
        <w:rPr>
          <w:rFonts w:ascii="Times New Roman" w:hAnsi="Times New Roman" w:cs="Times New Roman"/>
          <w:b/>
          <w:i/>
          <w:sz w:val="24"/>
          <w:szCs w:val="24"/>
        </w:rPr>
        <w:t xml:space="preserve">Таблица </w:t>
      </w:r>
      <w:r w:rsidR="002C535B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B42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42D7A" w:rsidRPr="005B4228" w:rsidRDefault="00A42D7A" w:rsidP="00A42D7A">
      <w:pPr>
        <w:spacing w:line="24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B4228">
        <w:rPr>
          <w:rFonts w:ascii="Times New Roman" w:hAnsi="Times New Roman" w:cs="Times New Roman"/>
          <w:b/>
          <w:i/>
          <w:sz w:val="24"/>
          <w:szCs w:val="24"/>
        </w:rPr>
        <w:t xml:space="preserve">Перечень автомобильных дорог регионального или межмуниципального значения, которые проходят по территории МО </w:t>
      </w:r>
      <w:r>
        <w:rPr>
          <w:rFonts w:ascii="Times New Roman" w:hAnsi="Times New Roman" w:cs="Times New Roman"/>
          <w:b/>
          <w:i/>
          <w:sz w:val="24"/>
          <w:szCs w:val="24"/>
        </w:rPr>
        <w:t>Сакмарский</w:t>
      </w:r>
      <w:r w:rsidRPr="005B4228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 </w:t>
      </w:r>
      <w:r>
        <w:rPr>
          <w:rFonts w:ascii="Times New Roman" w:hAnsi="Times New Roman" w:cs="Times New Roman"/>
          <w:b/>
          <w:i/>
          <w:sz w:val="24"/>
          <w:szCs w:val="24"/>
        </w:rPr>
        <w:t>Сакмарского</w:t>
      </w:r>
      <w:r w:rsidRPr="005B4228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</w:p>
    <w:p w:rsidR="00A42D7A" w:rsidRPr="00C05187" w:rsidRDefault="00A42D7A" w:rsidP="00A42D7A">
      <w:pPr>
        <w:tabs>
          <w:tab w:val="left" w:pos="993"/>
        </w:tabs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34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678"/>
        <w:gridCol w:w="992"/>
        <w:gridCol w:w="851"/>
        <w:gridCol w:w="850"/>
      </w:tblGrid>
      <w:tr w:rsidR="00A42D7A" w:rsidRPr="003A4616" w:rsidTr="00A42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ind w:left="-142" w:right="-121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автомобильной дороги (далее – а/д)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ind w:left="-152" w:right="-16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Всего,</w:t>
            </w:r>
          </w:p>
          <w:p w:rsidR="00A42D7A" w:rsidRPr="003A4616" w:rsidRDefault="00A42D7A" w:rsidP="00A42D7A">
            <w:pPr>
              <w:spacing w:after="0" w:line="240" w:lineRule="auto"/>
              <w:ind w:left="-152" w:right="-16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ind w:left="-152" w:right="-16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 с твердым покрытием,</w:t>
            </w:r>
          </w:p>
          <w:p w:rsidR="00A42D7A" w:rsidRPr="003A4616" w:rsidRDefault="00A42D7A" w:rsidP="00A42D7A">
            <w:pPr>
              <w:spacing w:after="0" w:line="240" w:lineRule="auto"/>
              <w:ind w:left="-152" w:right="-16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7A" w:rsidRPr="003A4616" w:rsidRDefault="00A42D7A" w:rsidP="00A42D7A">
            <w:pPr>
              <w:spacing w:after="0" w:line="240" w:lineRule="auto"/>
              <w:ind w:left="-142" w:right="-1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Категория дороги</w:t>
            </w:r>
          </w:p>
        </w:tc>
      </w:tr>
      <w:tr w:rsidR="002C535B" w:rsidRPr="003A4616" w:rsidTr="00A42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53 ОП РЗ 53К-2509000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Сакмара ¬- Верхние Чебеньки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27,21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27,21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</w:t>
            </w:r>
          </w:p>
        </w:tc>
      </w:tr>
      <w:tr w:rsidR="002C535B" w:rsidRPr="003A4616" w:rsidTr="00A42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53 ОП РЗ 53К-2503000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Верхние Чебеньки - Чебеньки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8,28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8,28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</w:t>
            </w:r>
          </w:p>
        </w:tc>
      </w:tr>
      <w:tr w:rsidR="002C535B" w:rsidRPr="003A4616" w:rsidTr="00A42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53 ОП МЗ 53Н-2509140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подъезд </w:t>
            </w:r>
            <w:r w:rsidRPr="00703D5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к с. Дмитриевка от автомобильной дороги Сакмара - Верхние Чебеньки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0,39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0,39</w:t>
            </w:r>
            <w:r w:rsidRPr="003A4616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6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</w:t>
            </w:r>
          </w:p>
        </w:tc>
      </w:tr>
      <w:tr w:rsidR="002C535B" w:rsidRPr="003A4616" w:rsidTr="00A42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Pr="001F4EC7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Pr="00703D56" w:rsidRDefault="002C535B" w:rsidP="002C535B">
            <w:pPr>
              <w:spacing w:after="0" w:line="240" w:lineRule="auto"/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</w:pPr>
            <w:r w:rsidRPr="001F4EC7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53 ОП МЗ 53Н-2509150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Default="002C535B" w:rsidP="002C535B">
            <w:pPr>
              <w:spacing w:after="0" w:line="240" w:lineRule="auto"/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</w:pPr>
            <w:r w:rsidRPr="001F4EC7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подъезд к с. Степные Огни от автомобильной дороги Сакмара - Верхние Чебеньки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Default="002C535B" w:rsidP="002C535B">
            <w:pPr>
              <w:spacing w:after="0" w:line="240" w:lineRule="auto"/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Default="002C535B" w:rsidP="002C535B">
            <w:pPr>
              <w:spacing w:after="0" w:line="240" w:lineRule="auto"/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5B" w:rsidRPr="003A4616" w:rsidRDefault="002C535B" w:rsidP="002C53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4E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IV</w:t>
            </w:r>
          </w:p>
        </w:tc>
      </w:tr>
    </w:tbl>
    <w:p w:rsidR="00A42D7A" w:rsidRDefault="00A42D7A" w:rsidP="00A42D7A">
      <w:pPr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:rsidR="00A42D7A" w:rsidRPr="005B4228" w:rsidRDefault="00A42D7A" w:rsidP="00A42D7A">
      <w:pPr>
        <w:tabs>
          <w:tab w:val="left" w:pos="993"/>
        </w:tabs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Существующие объекты регионального значения в области утилизации биологических отходов, расположенные на территории </w:t>
      </w:r>
      <w:r>
        <w:rPr>
          <w:rFonts w:ascii="Times New Roman" w:hAnsi="Times New Roman" w:cs="Times New Roman"/>
          <w:sz w:val="24"/>
          <w:szCs w:val="24"/>
          <w:lang w:eastAsia="ar-SA"/>
        </w:rPr>
        <w:t>Сакмарского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  <w:lang w:eastAsia="ar-SA"/>
        </w:rPr>
        <w:t>отсутсвуют</w:t>
      </w:r>
      <w:r w:rsidRPr="005B422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42D7A" w:rsidRPr="00AD35B4" w:rsidRDefault="00A42D7A" w:rsidP="00A42D7A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42D7A" w:rsidRPr="00AD35B4" w:rsidRDefault="00A42D7A" w:rsidP="00A42D7A">
      <w:pPr>
        <w:tabs>
          <w:tab w:val="left" w:pos="993"/>
        </w:tabs>
        <w:spacing w:line="10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A42D7A" w:rsidRPr="00AD35B4" w:rsidSect="003D42C9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AC" w:rsidRDefault="00C453AC" w:rsidP="00166AF6">
      <w:pPr>
        <w:spacing w:after="0" w:line="240" w:lineRule="auto"/>
      </w:pPr>
      <w:r>
        <w:separator/>
      </w:r>
    </w:p>
  </w:endnote>
  <w:endnote w:type="continuationSeparator" w:id="0">
    <w:p w:rsidR="00C453AC" w:rsidRDefault="00C453AC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3AC" w:rsidRDefault="00C453AC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Ф</w:t>
    </w:r>
    <w:r w:rsidRPr="00743C0E">
      <w:rPr>
        <w:rFonts w:asciiTheme="majorHAnsi" w:hAnsiTheme="majorHAnsi"/>
      </w:rPr>
      <w:t xml:space="preserve">илиал ППК "Роскадастр" по </w:t>
    </w:r>
  </w:p>
  <w:p w:rsidR="00C453AC" w:rsidRDefault="00C453AC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43C0E">
      <w:rPr>
        <w:rFonts w:asciiTheme="majorHAnsi" w:hAnsiTheme="majorHAnsi"/>
      </w:rPr>
      <w:t>Оренбургской области</w:t>
    </w:r>
    <w:r>
      <w:rPr>
        <w:rFonts w:asciiTheme="majorHAnsi" w:hAnsiTheme="majorHAnsi"/>
      </w:rPr>
      <w:t>, 2023г.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2C535B" w:rsidRPr="002C535B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:rsidR="00C453AC" w:rsidRDefault="00C453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AC" w:rsidRDefault="00C453AC" w:rsidP="00166AF6">
      <w:pPr>
        <w:spacing w:after="0" w:line="240" w:lineRule="auto"/>
      </w:pPr>
      <w:r>
        <w:separator/>
      </w:r>
    </w:p>
  </w:footnote>
  <w:footnote w:type="continuationSeparator" w:id="0">
    <w:p w:rsidR="00C453AC" w:rsidRDefault="00C453AC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3AC" w:rsidRDefault="00C453AC" w:rsidP="00AB3B85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166AF6">
      <w:rPr>
        <w:rFonts w:asciiTheme="majorHAnsi" w:eastAsiaTheme="majorEastAsia" w:hAnsiTheme="majorHAnsi" w:cstheme="majorBidi"/>
        <w:sz w:val="24"/>
        <w:szCs w:val="24"/>
      </w:rPr>
      <w:t xml:space="preserve">МО </w:t>
    </w:r>
    <w:r>
      <w:rPr>
        <w:rFonts w:asciiTheme="majorHAnsi" w:eastAsiaTheme="majorEastAsia" w:hAnsiTheme="majorHAnsi" w:cstheme="majorBidi"/>
        <w:sz w:val="24"/>
        <w:szCs w:val="24"/>
      </w:rPr>
      <w:t>Верхнечебеньковский сельсовет</w:t>
    </w:r>
    <w:r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Pr="00166AF6">
      <w:rPr>
        <w:rFonts w:asciiTheme="majorHAnsi" w:eastAsiaTheme="majorEastAsia" w:hAnsiTheme="majorHAnsi" w:cstheme="majorBidi"/>
        <w:sz w:val="24"/>
        <w:szCs w:val="24"/>
      </w:rPr>
      <w:t xml:space="preserve">енеральный план. </w:t>
    </w:r>
  </w:p>
  <w:p w:rsidR="00C453AC" w:rsidRPr="00166AF6" w:rsidRDefault="00C453AC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Положение о территориальном планировании</w:t>
    </w:r>
    <w:r w:rsidRPr="00166AF6">
      <w:rPr>
        <w:rFonts w:asciiTheme="majorHAnsi" w:eastAsiaTheme="majorEastAsia" w:hAnsiTheme="majorHAnsi" w:cstheme="majorBidi"/>
        <w:sz w:val="24"/>
        <w:szCs w:val="24"/>
      </w:rPr>
      <w:t>.</w:t>
    </w:r>
  </w:p>
  <w:p w:rsidR="00C453AC" w:rsidRDefault="00C453A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41DA"/>
    <w:multiLevelType w:val="hybridMultilevel"/>
    <w:tmpl w:val="383A8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D0030"/>
    <w:multiLevelType w:val="hybridMultilevel"/>
    <w:tmpl w:val="D960ED2A"/>
    <w:lvl w:ilvl="0" w:tplc="4232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D3666"/>
    <w:multiLevelType w:val="hybridMultilevel"/>
    <w:tmpl w:val="4462F19E"/>
    <w:lvl w:ilvl="0" w:tplc="4232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71854859"/>
    <w:multiLevelType w:val="multilevel"/>
    <w:tmpl w:val="80663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AF1DEB"/>
    <w:multiLevelType w:val="multilevel"/>
    <w:tmpl w:val="E2849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F6"/>
    <w:rsid w:val="00002413"/>
    <w:rsid w:val="00011D9F"/>
    <w:rsid w:val="000149A9"/>
    <w:rsid w:val="00016666"/>
    <w:rsid w:val="000216B1"/>
    <w:rsid w:val="000216F7"/>
    <w:rsid w:val="00034798"/>
    <w:rsid w:val="000415D4"/>
    <w:rsid w:val="00044E04"/>
    <w:rsid w:val="00050EA4"/>
    <w:rsid w:val="00051A1E"/>
    <w:rsid w:val="0005539C"/>
    <w:rsid w:val="00061E43"/>
    <w:rsid w:val="00061E9C"/>
    <w:rsid w:val="00065033"/>
    <w:rsid w:val="00067022"/>
    <w:rsid w:val="0007463C"/>
    <w:rsid w:val="00092586"/>
    <w:rsid w:val="00093454"/>
    <w:rsid w:val="000A0CE4"/>
    <w:rsid w:val="000A5325"/>
    <w:rsid w:val="000B1588"/>
    <w:rsid w:val="000B528E"/>
    <w:rsid w:val="000C77D5"/>
    <w:rsid w:val="000D0AAE"/>
    <w:rsid w:val="000D2105"/>
    <w:rsid w:val="000D55F4"/>
    <w:rsid w:val="000D59C8"/>
    <w:rsid w:val="000E1014"/>
    <w:rsid w:val="000E6402"/>
    <w:rsid w:val="000F2545"/>
    <w:rsid w:val="0010415E"/>
    <w:rsid w:val="001116EC"/>
    <w:rsid w:val="00111FEF"/>
    <w:rsid w:val="00113FA0"/>
    <w:rsid w:val="00116357"/>
    <w:rsid w:val="00116610"/>
    <w:rsid w:val="00124490"/>
    <w:rsid w:val="00124729"/>
    <w:rsid w:val="00140EDF"/>
    <w:rsid w:val="00141376"/>
    <w:rsid w:val="00143597"/>
    <w:rsid w:val="001443E8"/>
    <w:rsid w:val="00144FC8"/>
    <w:rsid w:val="001459EB"/>
    <w:rsid w:val="00164372"/>
    <w:rsid w:val="00165709"/>
    <w:rsid w:val="00166AF6"/>
    <w:rsid w:val="00180D5A"/>
    <w:rsid w:val="00195CE8"/>
    <w:rsid w:val="00196038"/>
    <w:rsid w:val="001A387A"/>
    <w:rsid w:val="001A645F"/>
    <w:rsid w:val="001B1413"/>
    <w:rsid w:val="001B35CC"/>
    <w:rsid w:val="001C76DB"/>
    <w:rsid w:val="001E1E42"/>
    <w:rsid w:val="001F2D69"/>
    <w:rsid w:val="001F37AF"/>
    <w:rsid w:val="00220D4D"/>
    <w:rsid w:val="002226D0"/>
    <w:rsid w:val="0023684D"/>
    <w:rsid w:val="00237FEE"/>
    <w:rsid w:val="00245249"/>
    <w:rsid w:val="0025566E"/>
    <w:rsid w:val="002606C3"/>
    <w:rsid w:val="0026468D"/>
    <w:rsid w:val="0027134C"/>
    <w:rsid w:val="00274317"/>
    <w:rsid w:val="002817D5"/>
    <w:rsid w:val="00282C4E"/>
    <w:rsid w:val="002955AD"/>
    <w:rsid w:val="002959A7"/>
    <w:rsid w:val="002A3ED4"/>
    <w:rsid w:val="002A414D"/>
    <w:rsid w:val="002B55A4"/>
    <w:rsid w:val="002B77B7"/>
    <w:rsid w:val="002C535B"/>
    <w:rsid w:val="002C5C21"/>
    <w:rsid w:val="002D22D2"/>
    <w:rsid w:val="002D463F"/>
    <w:rsid w:val="002D6BB8"/>
    <w:rsid w:val="002D7A0F"/>
    <w:rsid w:val="002E19CC"/>
    <w:rsid w:val="002F4641"/>
    <w:rsid w:val="003008AC"/>
    <w:rsid w:val="003011D0"/>
    <w:rsid w:val="00327951"/>
    <w:rsid w:val="00350A5F"/>
    <w:rsid w:val="003607DD"/>
    <w:rsid w:val="00362FD1"/>
    <w:rsid w:val="0037198B"/>
    <w:rsid w:val="00371EC2"/>
    <w:rsid w:val="00372C84"/>
    <w:rsid w:val="00383CC1"/>
    <w:rsid w:val="00394011"/>
    <w:rsid w:val="003A0461"/>
    <w:rsid w:val="003A639F"/>
    <w:rsid w:val="003B4ADF"/>
    <w:rsid w:val="003B5025"/>
    <w:rsid w:val="003C0567"/>
    <w:rsid w:val="003C12A4"/>
    <w:rsid w:val="003C1FE3"/>
    <w:rsid w:val="003C3556"/>
    <w:rsid w:val="003C5513"/>
    <w:rsid w:val="003C5AC0"/>
    <w:rsid w:val="003D2A24"/>
    <w:rsid w:val="003D42C9"/>
    <w:rsid w:val="003D5502"/>
    <w:rsid w:val="003D6BB9"/>
    <w:rsid w:val="003E1600"/>
    <w:rsid w:val="003F2C66"/>
    <w:rsid w:val="003F302E"/>
    <w:rsid w:val="003F5634"/>
    <w:rsid w:val="0040734F"/>
    <w:rsid w:val="00413E5C"/>
    <w:rsid w:val="00414D13"/>
    <w:rsid w:val="0042087B"/>
    <w:rsid w:val="00424C66"/>
    <w:rsid w:val="0042562E"/>
    <w:rsid w:val="00427B8A"/>
    <w:rsid w:val="00435DD0"/>
    <w:rsid w:val="00441F38"/>
    <w:rsid w:val="0045554D"/>
    <w:rsid w:val="004718A0"/>
    <w:rsid w:val="00474B2C"/>
    <w:rsid w:val="00480822"/>
    <w:rsid w:val="00487B74"/>
    <w:rsid w:val="00490AAC"/>
    <w:rsid w:val="004A1FFC"/>
    <w:rsid w:val="004A21DC"/>
    <w:rsid w:val="004A27DD"/>
    <w:rsid w:val="004A6181"/>
    <w:rsid w:val="004A67E1"/>
    <w:rsid w:val="004C036A"/>
    <w:rsid w:val="004C0C4E"/>
    <w:rsid w:val="004C1D5D"/>
    <w:rsid w:val="004D068D"/>
    <w:rsid w:val="004D738F"/>
    <w:rsid w:val="004E3378"/>
    <w:rsid w:val="004E7F36"/>
    <w:rsid w:val="004E7FB1"/>
    <w:rsid w:val="004F0BBB"/>
    <w:rsid w:val="004F7D84"/>
    <w:rsid w:val="00501B94"/>
    <w:rsid w:val="00510A3D"/>
    <w:rsid w:val="005129F0"/>
    <w:rsid w:val="00520C2A"/>
    <w:rsid w:val="00530A84"/>
    <w:rsid w:val="0053436D"/>
    <w:rsid w:val="00542E2C"/>
    <w:rsid w:val="0054380B"/>
    <w:rsid w:val="005625A9"/>
    <w:rsid w:val="005626FC"/>
    <w:rsid w:val="005630A8"/>
    <w:rsid w:val="00572412"/>
    <w:rsid w:val="005A0A65"/>
    <w:rsid w:val="005B12BC"/>
    <w:rsid w:val="005B30D1"/>
    <w:rsid w:val="005B35EA"/>
    <w:rsid w:val="005B5711"/>
    <w:rsid w:val="005B6803"/>
    <w:rsid w:val="005B6EA7"/>
    <w:rsid w:val="005C7323"/>
    <w:rsid w:val="005E2351"/>
    <w:rsid w:val="005E2431"/>
    <w:rsid w:val="005F29BA"/>
    <w:rsid w:val="005F382F"/>
    <w:rsid w:val="005F5BB0"/>
    <w:rsid w:val="005F6F6A"/>
    <w:rsid w:val="006010EE"/>
    <w:rsid w:val="00602703"/>
    <w:rsid w:val="00607E5A"/>
    <w:rsid w:val="00626F67"/>
    <w:rsid w:val="006337E8"/>
    <w:rsid w:val="00634D7F"/>
    <w:rsid w:val="00635762"/>
    <w:rsid w:val="0063648C"/>
    <w:rsid w:val="00636856"/>
    <w:rsid w:val="006449D9"/>
    <w:rsid w:val="00645DF0"/>
    <w:rsid w:val="00646B76"/>
    <w:rsid w:val="006519E7"/>
    <w:rsid w:val="00651B0C"/>
    <w:rsid w:val="0066316F"/>
    <w:rsid w:val="006634BF"/>
    <w:rsid w:val="006643E1"/>
    <w:rsid w:val="00664E2D"/>
    <w:rsid w:val="00667436"/>
    <w:rsid w:val="00671B90"/>
    <w:rsid w:val="00676BB9"/>
    <w:rsid w:val="00684C1A"/>
    <w:rsid w:val="00686443"/>
    <w:rsid w:val="00697C57"/>
    <w:rsid w:val="006A5EA7"/>
    <w:rsid w:val="006B28B5"/>
    <w:rsid w:val="006B7CCA"/>
    <w:rsid w:val="006C5936"/>
    <w:rsid w:val="006E02B9"/>
    <w:rsid w:val="006F1FC3"/>
    <w:rsid w:val="006F454B"/>
    <w:rsid w:val="00712057"/>
    <w:rsid w:val="00714CB6"/>
    <w:rsid w:val="007168B9"/>
    <w:rsid w:val="00720CF3"/>
    <w:rsid w:val="007256C9"/>
    <w:rsid w:val="00731E92"/>
    <w:rsid w:val="00743C0E"/>
    <w:rsid w:val="00746B07"/>
    <w:rsid w:val="00755441"/>
    <w:rsid w:val="00761D1B"/>
    <w:rsid w:val="00767953"/>
    <w:rsid w:val="0077398E"/>
    <w:rsid w:val="007744CF"/>
    <w:rsid w:val="0077499E"/>
    <w:rsid w:val="0077668C"/>
    <w:rsid w:val="00785D04"/>
    <w:rsid w:val="007903B8"/>
    <w:rsid w:val="00791F74"/>
    <w:rsid w:val="007A08B1"/>
    <w:rsid w:val="007A1B79"/>
    <w:rsid w:val="007A43B8"/>
    <w:rsid w:val="007A5E86"/>
    <w:rsid w:val="007A61DC"/>
    <w:rsid w:val="007B4D26"/>
    <w:rsid w:val="007C43CD"/>
    <w:rsid w:val="007D7212"/>
    <w:rsid w:val="007E0D1E"/>
    <w:rsid w:val="007E1859"/>
    <w:rsid w:val="007F1971"/>
    <w:rsid w:val="007F2512"/>
    <w:rsid w:val="007F3A51"/>
    <w:rsid w:val="00810079"/>
    <w:rsid w:val="00812AF5"/>
    <w:rsid w:val="00821DD9"/>
    <w:rsid w:val="0082445A"/>
    <w:rsid w:val="00824B84"/>
    <w:rsid w:val="00827448"/>
    <w:rsid w:val="00831463"/>
    <w:rsid w:val="00834896"/>
    <w:rsid w:val="00843645"/>
    <w:rsid w:val="008568FB"/>
    <w:rsid w:val="00857CAD"/>
    <w:rsid w:val="008668E9"/>
    <w:rsid w:val="00877B9A"/>
    <w:rsid w:val="008851C6"/>
    <w:rsid w:val="008945E8"/>
    <w:rsid w:val="00895D2C"/>
    <w:rsid w:val="008B25E1"/>
    <w:rsid w:val="008C1D28"/>
    <w:rsid w:val="008D21CB"/>
    <w:rsid w:val="008D3D02"/>
    <w:rsid w:val="008E2C24"/>
    <w:rsid w:val="008E54C3"/>
    <w:rsid w:val="0090405B"/>
    <w:rsid w:val="00904C74"/>
    <w:rsid w:val="00906212"/>
    <w:rsid w:val="00917804"/>
    <w:rsid w:val="0092685B"/>
    <w:rsid w:val="00927273"/>
    <w:rsid w:val="009351F9"/>
    <w:rsid w:val="0094663F"/>
    <w:rsid w:val="00950356"/>
    <w:rsid w:val="00954A98"/>
    <w:rsid w:val="009567F7"/>
    <w:rsid w:val="00957ED0"/>
    <w:rsid w:val="0096476D"/>
    <w:rsid w:val="00967C80"/>
    <w:rsid w:val="00986956"/>
    <w:rsid w:val="00986B4C"/>
    <w:rsid w:val="009875B6"/>
    <w:rsid w:val="009878B3"/>
    <w:rsid w:val="009A0A16"/>
    <w:rsid w:val="009A21CE"/>
    <w:rsid w:val="009B36B7"/>
    <w:rsid w:val="009B45F2"/>
    <w:rsid w:val="009C4063"/>
    <w:rsid w:val="009D3319"/>
    <w:rsid w:val="009E6EFD"/>
    <w:rsid w:val="009F1110"/>
    <w:rsid w:val="009F2122"/>
    <w:rsid w:val="009F514E"/>
    <w:rsid w:val="009F54D5"/>
    <w:rsid w:val="009F6989"/>
    <w:rsid w:val="009F74A9"/>
    <w:rsid w:val="00A02A44"/>
    <w:rsid w:val="00A0560E"/>
    <w:rsid w:val="00A10BB1"/>
    <w:rsid w:val="00A11563"/>
    <w:rsid w:val="00A17254"/>
    <w:rsid w:val="00A17557"/>
    <w:rsid w:val="00A24177"/>
    <w:rsid w:val="00A30019"/>
    <w:rsid w:val="00A32D23"/>
    <w:rsid w:val="00A36186"/>
    <w:rsid w:val="00A41312"/>
    <w:rsid w:val="00A42D7A"/>
    <w:rsid w:val="00A54241"/>
    <w:rsid w:val="00A57191"/>
    <w:rsid w:val="00A579B8"/>
    <w:rsid w:val="00A6160F"/>
    <w:rsid w:val="00A626DE"/>
    <w:rsid w:val="00A63E93"/>
    <w:rsid w:val="00A64268"/>
    <w:rsid w:val="00A64756"/>
    <w:rsid w:val="00A8028F"/>
    <w:rsid w:val="00A80FC5"/>
    <w:rsid w:val="00A8750E"/>
    <w:rsid w:val="00AA0175"/>
    <w:rsid w:val="00AB079E"/>
    <w:rsid w:val="00AB3B85"/>
    <w:rsid w:val="00AB4F09"/>
    <w:rsid w:val="00AC66BC"/>
    <w:rsid w:val="00AD192C"/>
    <w:rsid w:val="00AF20F3"/>
    <w:rsid w:val="00AF3CF2"/>
    <w:rsid w:val="00B0212A"/>
    <w:rsid w:val="00B17D4B"/>
    <w:rsid w:val="00B2045C"/>
    <w:rsid w:val="00B23017"/>
    <w:rsid w:val="00B25D9A"/>
    <w:rsid w:val="00B342B1"/>
    <w:rsid w:val="00B41B0C"/>
    <w:rsid w:val="00B43312"/>
    <w:rsid w:val="00B45FE2"/>
    <w:rsid w:val="00B50476"/>
    <w:rsid w:val="00B647AC"/>
    <w:rsid w:val="00B65666"/>
    <w:rsid w:val="00B72C64"/>
    <w:rsid w:val="00B82DFD"/>
    <w:rsid w:val="00B83DF4"/>
    <w:rsid w:val="00B95A8C"/>
    <w:rsid w:val="00B9683B"/>
    <w:rsid w:val="00BA0E59"/>
    <w:rsid w:val="00BB0BBB"/>
    <w:rsid w:val="00BB261E"/>
    <w:rsid w:val="00BB32A7"/>
    <w:rsid w:val="00BC4EA2"/>
    <w:rsid w:val="00BD0B12"/>
    <w:rsid w:val="00BD1435"/>
    <w:rsid w:val="00BD3F1A"/>
    <w:rsid w:val="00BE5533"/>
    <w:rsid w:val="00BF0185"/>
    <w:rsid w:val="00BF64D1"/>
    <w:rsid w:val="00C01E38"/>
    <w:rsid w:val="00C03840"/>
    <w:rsid w:val="00C03B82"/>
    <w:rsid w:val="00C06270"/>
    <w:rsid w:val="00C13A34"/>
    <w:rsid w:val="00C16533"/>
    <w:rsid w:val="00C2292A"/>
    <w:rsid w:val="00C30C8A"/>
    <w:rsid w:val="00C32A89"/>
    <w:rsid w:val="00C453AC"/>
    <w:rsid w:val="00C51D6D"/>
    <w:rsid w:val="00C55D69"/>
    <w:rsid w:val="00C6528E"/>
    <w:rsid w:val="00C76638"/>
    <w:rsid w:val="00C857F7"/>
    <w:rsid w:val="00C86E75"/>
    <w:rsid w:val="00C90ECA"/>
    <w:rsid w:val="00C93A7B"/>
    <w:rsid w:val="00C95607"/>
    <w:rsid w:val="00CA3947"/>
    <w:rsid w:val="00CA60CF"/>
    <w:rsid w:val="00CC3EC6"/>
    <w:rsid w:val="00CC4C11"/>
    <w:rsid w:val="00CC60CB"/>
    <w:rsid w:val="00CC788B"/>
    <w:rsid w:val="00CE04FE"/>
    <w:rsid w:val="00CE186E"/>
    <w:rsid w:val="00CF7240"/>
    <w:rsid w:val="00CF7545"/>
    <w:rsid w:val="00CF7900"/>
    <w:rsid w:val="00D01AAB"/>
    <w:rsid w:val="00D10F8C"/>
    <w:rsid w:val="00D117D2"/>
    <w:rsid w:val="00D154C7"/>
    <w:rsid w:val="00D16249"/>
    <w:rsid w:val="00D23AB3"/>
    <w:rsid w:val="00D24927"/>
    <w:rsid w:val="00D3361E"/>
    <w:rsid w:val="00D35928"/>
    <w:rsid w:val="00D37FC0"/>
    <w:rsid w:val="00D412A5"/>
    <w:rsid w:val="00D43332"/>
    <w:rsid w:val="00D440A2"/>
    <w:rsid w:val="00D65DCF"/>
    <w:rsid w:val="00D70A81"/>
    <w:rsid w:val="00D737F8"/>
    <w:rsid w:val="00D80402"/>
    <w:rsid w:val="00DA575D"/>
    <w:rsid w:val="00DB1C4E"/>
    <w:rsid w:val="00DB2B4B"/>
    <w:rsid w:val="00DB40C1"/>
    <w:rsid w:val="00DD5319"/>
    <w:rsid w:val="00DD5589"/>
    <w:rsid w:val="00DD68A1"/>
    <w:rsid w:val="00DE60E7"/>
    <w:rsid w:val="00DE6936"/>
    <w:rsid w:val="00DF1D54"/>
    <w:rsid w:val="00DF2ADA"/>
    <w:rsid w:val="00E20C12"/>
    <w:rsid w:val="00E22F9E"/>
    <w:rsid w:val="00E27EA0"/>
    <w:rsid w:val="00E341F5"/>
    <w:rsid w:val="00E43C21"/>
    <w:rsid w:val="00E46748"/>
    <w:rsid w:val="00E568C9"/>
    <w:rsid w:val="00E605CA"/>
    <w:rsid w:val="00E62A54"/>
    <w:rsid w:val="00E6683A"/>
    <w:rsid w:val="00E714F7"/>
    <w:rsid w:val="00E71E0B"/>
    <w:rsid w:val="00E7454C"/>
    <w:rsid w:val="00E82DDF"/>
    <w:rsid w:val="00E90D49"/>
    <w:rsid w:val="00E92C7F"/>
    <w:rsid w:val="00E97E8F"/>
    <w:rsid w:val="00EA3B36"/>
    <w:rsid w:val="00EA65EA"/>
    <w:rsid w:val="00EC041E"/>
    <w:rsid w:val="00EC1629"/>
    <w:rsid w:val="00EC2CC9"/>
    <w:rsid w:val="00EC31DA"/>
    <w:rsid w:val="00EC5AAE"/>
    <w:rsid w:val="00ED7BFE"/>
    <w:rsid w:val="00EE1484"/>
    <w:rsid w:val="00EE3F42"/>
    <w:rsid w:val="00EF0652"/>
    <w:rsid w:val="00EF71BD"/>
    <w:rsid w:val="00F01F8D"/>
    <w:rsid w:val="00F03FB2"/>
    <w:rsid w:val="00F046A2"/>
    <w:rsid w:val="00F07233"/>
    <w:rsid w:val="00F07996"/>
    <w:rsid w:val="00F1659D"/>
    <w:rsid w:val="00F27A4E"/>
    <w:rsid w:val="00F305E5"/>
    <w:rsid w:val="00F56355"/>
    <w:rsid w:val="00F56F57"/>
    <w:rsid w:val="00F60151"/>
    <w:rsid w:val="00F73ECD"/>
    <w:rsid w:val="00F8222F"/>
    <w:rsid w:val="00F94A87"/>
    <w:rsid w:val="00F96C45"/>
    <w:rsid w:val="00F9743D"/>
    <w:rsid w:val="00FA6BB5"/>
    <w:rsid w:val="00FB6B11"/>
    <w:rsid w:val="00FC0C5A"/>
    <w:rsid w:val="00FC7490"/>
    <w:rsid w:val="00FD1694"/>
    <w:rsid w:val="00FE24A3"/>
    <w:rsid w:val="00FE31E6"/>
    <w:rsid w:val="00FE4AAD"/>
    <w:rsid w:val="00FE59FD"/>
    <w:rsid w:val="00FE6471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F9B914"/>
  <w15:docId w15:val="{BFAA8C64-5322-4418-BAA4-B52B2CA3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Заголовок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F302E"/>
    <w:pPr>
      <w:tabs>
        <w:tab w:val="right" w:leader="dot" w:pos="9344"/>
      </w:tabs>
      <w:ind w:left="220"/>
    </w:pPr>
    <w:rPr>
      <w:rFonts w:ascii="Times New Roman" w:eastAsia="Times New Roman" w:hAnsi="Times New Roman" w:cs="Times New Roman"/>
      <w:b/>
      <w:noProof/>
      <w:color w:val="943634" w:themeColor="accent2" w:themeShade="BF"/>
      <w:sz w:val="28"/>
      <w:szCs w:val="28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17D4B"/>
    <w:pPr>
      <w:tabs>
        <w:tab w:val="right" w:leader="dot" w:pos="9344"/>
      </w:tabs>
      <w:ind w:left="440"/>
    </w:pPr>
    <w:rPr>
      <w:rFonts w:ascii="Times New Roman" w:eastAsia="Times New Roman" w:hAnsi="Times New Roman" w:cs="Times New Roman"/>
      <w:b/>
      <w:noProof/>
      <w:color w:val="943634" w:themeColor="accent2" w:themeShade="BF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b">
    <w:name w:val="Подзаголовок Знак"/>
    <w:basedOn w:val="a0"/>
    <w:link w:val="afa"/>
    <w:uiPriority w:val="11"/>
    <w:rsid w:val="003F5634"/>
    <w:rPr>
      <w:color w:val="5A5A5A" w:themeColor="text1" w:themeTint="A5"/>
      <w:spacing w:val="15"/>
    </w:rPr>
  </w:style>
  <w:style w:type="paragraph" w:styleId="afc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paragraph" w:customStyle="1" w:styleId="Default">
    <w:name w:val="Default"/>
    <w:rsid w:val="00967C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D1694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90405B"/>
    <w:rPr>
      <w:rFonts w:ascii="Calibri" w:eastAsia="Times New Roman" w:hAnsi="Calibri" w:cs="Times New Roman"/>
    </w:rPr>
  </w:style>
  <w:style w:type="paragraph" w:customStyle="1" w:styleId="afd">
    <w:name w:val="Обычный текст"/>
    <w:basedOn w:val="a"/>
    <w:qFormat/>
    <w:rsid w:val="000A0C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afe">
    <w:name w:val="Другое_"/>
    <w:basedOn w:val="a0"/>
    <w:link w:val="aff"/>
    <w:rsid w:val="00A42D7A"/>
    <w:rPr>
      <w:rFonts w:ascii="Times New Roman" w:eastAsia="Times New Roman" w:hAnsi="Times New Roman" w:cs="Times New Roman"/>
      <w:sz w:val="18"/>
      <w:szCs w:val="18"/>
    </w:rPr>
  </w:style>
  <w:style w:type="paragraph" w:customStyle="1" w:styleId="aff">
    <w:name w:val="Другое"/>
    <w:basedOn w:val="a"/>
    <w:link w:val="afe"/>
    <w:rsid w:val="00A42D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">
    <w:name w:val="Абзац списка1"/>
    <w:basedOn w:val="a"/>
    <w:rsid w:val="00A42D7A"/>
    <w:pPr>
      <w:suppressAutoHyphens/>
      <w:ind w:left="720"/>
    </w:pPr>
    <w:rPr>
      <w:rFonts w:ascii="Calibri" w:eastAsia="Lucida Sans Unicode" w:hAnsi="Calibri" w:cs="Calibri"/>
      <w:kern w:val="1"/>
      <w:lang w:eastAsia="hi-IN" w:bidi="hi-IN"/>
    </w:rPr>
  </w:style>
  <w:style w:type="paragraph" w:customStyle="1" w:styleId="15">
    <w:name w:val="Обычный (веб)1"/>
    <w:basedOn w:val="a"/>
    <w:rsid w:val="00A42D7A"/>
    <w:pPr>
      <w:suppressAutoHyphens/>
      <w:spacing w:after="0" w:line="360" w:lineRule="auto"/>
      <w:ind w:left="1080" w:firstLine="709"/>
      <w:jc w:val="both"/>
    </w:pPr>
    <w:rPr>
      <w:rFonts w:ascii="Calibri" w:eastAsia="Calibri" w:hAnsi="Calibri" w:cs="Mangal"/>
      <w:spacing w:val="-5"/>
      <w:kern w:val="1"/>
      <w:sz w:val="28"/>
      <w:szCs w:val="28"/>
      <w:lang w:eastAsia="hi-IN" w:bidi="hi-IN"/>
    </w:rPr>
  </w:style>
  <w:style w:type="character" w:customStyle="1" w:styleId="aff0">
    <w:name w:val="Основной текст_"/>
    <w:basedOn w:val="a0"/>
    <w:link w:val="16"/>
    <w:rsid w:val="00A42D7A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Основной текст1"/>
    <w:basedOn w:val="a"/>
    <w:link w:val="aff0"/>
    <w:rsid w:val="00A42D7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f1">
    <w:name w:val="No Spacing"/>
    <w:uiPriority w:val="1"/>
    <w:qFormat/>
    <w:rsid w:val="00A42D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f2">
    <w:name w:val="Нормальный (таблица)"/>
    <w:basedOn w:val="a"/>
    <w:next w:val="a"/>
    <w:uiPriority w:val="99"/>
    <w:rsid w:val="00A42D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40AA-586D-488A-BBF4-2053185E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19</Pages>
  <Words>5982</Words>
  <Characters>34103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40005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Мучкаева Татьяна Викторовна</cp:lastModifiedBy>
  <cp:revision>39</cp:revision>
  <cp:lastPrinted>2016-05-24T10:24:00Z</cp:lastPrinted>
  <dcterms:created xsi:type="dcterms:W3CDTF">2016-07-01T08:15:00Z</dcterms:created>
  <dcterms:modified xsi:type="dcterms:W3CDTF">2023-12-12T04:49:00Z</dcterms:modified>
</cp:coreProperties>
</file>