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F0C21">
      <w:pPr>
        <w:pStyle w:val="1"/>
      </w:pPr>
      <w:r>
        <w:fldChar w:fldCharType="begin"/>
      </w:r>
      <w:r>
        <w:instrText>HYPERLINK "http://mobileonline.garant.ru/document/redirect/45808800/0"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Оренбургской области от 14 ноября 201</w:t>
      </w:r>
      <w:r>
        <w:rPr>
          <w:rStyle w:val="a4"/>
          <w:b w:val="0"/>
          <w:bCs w:val="0"/>
        </w:rPr>
        <w:t>6 г. N 851-пп "О реализации на территории Оренбургской области инициативных проектов" (с изменениями и дополнениями)</w:t>
      </w:r>
      <w:r>
        <w:fldChar w:fldCharType="end"/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августа 2021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pStyle w:val="1"/>
      </w:pPr>
      <w:r>
        <w:t>Постановление Правительства Оренбургской области от 14 ноября 2016 </w:t>
      </w:r>
      <w:r>
        <w:t>г. N 851-пп</w:t>
      </w:r>
      <w:r>
        <w:br/>
        <w:t>"О реализации на территории Оренбургской области инициативных проектов"</w:t>
      </w:r>
    </w:p>
    <w:p w:rsidR="00000000" w:rsidRDefault="00AF0C21">
      <w:pPr>
        <w:pStyle w:val="ab"/>
      </w:pPr>
      <w:r>
        <w:t>С изменениями и дополнениями от:</w:t>
      </w:r>
    </w:p>
    <w:p w:rsidR="00000000" w:rsidRDefault="00AF0C2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2017 г., 21 мая 2018 г., 29 мая 2019 г., 31 января, 4 августа 2020 г., 17 августа 2021 г.</w:t>
      </w:r>
    </w:p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21 августа 2021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В соответствии с </w:t>
      </w:r>
      <w:hyperlink r:id="rId11" w:history="1">
        <w:r>
          <w:rPr>
            <w:rStyle w:val="a4"/>
          </w:rPr>
          <w:t>пунктом 10 статьи 26.1</w:t>
        </w:r>
      </w:hyperlink>
      <w:r>
        <w:t xml:space="preserve"> Федерального закона от 6 октября 2003 года N 131-ФЗ "Об общих принципах организации местного самоупр</w:t>
      </w:r>
      <w:r>
        <w:t>авления в Российской Федерации", в целях содействия решению вопросов местного значения, вовлечения населения в процессы взаимодействия с органами местного самоуправления при определении наиболее значимых проблем муниципальных образований Оренбургской облас</w:t>
      </w:r>
      <w:r>
        <w:t>ти, в состав которых входят сельские населенные пункты, Правительство Оренбургской области постановляет: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12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1. Установить, что государственная поддержка инициативных проектов (далее - гос</w:t>
      </w:r>
      <w:r>
        <w:t xml:space="preserve">ударственная поддержка), осуществляется за счет средств </w:t>
      </w:r>
      <w:hyperlink r:id="rId14" w:history="1">
        <w:r>
          <w:rPr>
            <w:rStyle w:val="a4"/>
          </w:rPr>
          <w:t>областного бюджета</w:t>
        </w:r>
      </w:hyperlink>
      <w:r>
        <w:t>.</w:t>
      </w:r>
    </w:p>
    <w:p w:rsidR="00000000" w:rsidRDefault="00AF0C21">
      <w:bookmarkStart w:id="3" w:name="sub_12"/>
      <w:r>
        <w:t>Государственная поддержка бюджетам муниципальных образований Оренбургской области осуществляется в соответствии со сводной бюджетной росписью областного бюджета в пределах лимитов бюджетных обязательств.</w:t>
      </w:r>
    </w:p>
    <w:bookmarkEnd w:id="3"/>
    <w:p w:rsidR="00000000" w:rsidRDefault="00AF0C21">
      <w:r>
        <w:t>Государственная поддержка осуществляется на ко</w:t>
      </w:r>
      <w:r>
        <w:t xml:space="preserve">нкурсной основе в целях софинансирования расходных обязательств, возникающих при выполнении органами местного самоуправления муниципальных образований Оренбургской области полномочий по решению отдельных вопросов местного значения, предусмотренных </w:t>
      </w:r>
      <w:hyperlink r:id="rId15" w:history="1">
        <w:r>
          <w:rPr>
            <w:rStyle w:val="a4"/>
          </w:rPr>
          <w:t>статьями 14</w:t>
        </w:r>
      </w:hyperlink>
      <w:r>
        <w:t xml:space="preserve">, </w:t>
      </w:r>
      <w:hyperlink r:id="rId16" w:history="1">
        <w:r>
          <w:rPr>
            <w:rStyle w:val="a4"/>
          </w:rPr>
          <w:t>16</w:t>
        </w:r>
      </w:hyperlink>
      <w:r>
        <w:t xml:space="preserve"> Федерального закона от 6 октября 2003 года N 131-ФЗ "Об общих принципах организации местного самоуправле</w:t>
      </w:r>
      <w:r>
        <w:t>ния в Российской Федерации".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августа 2021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</w:t>
      </w:r>
      <w:r>
        <w:rPr>
          <w:shd w:val="clear" w:color="auto" w:fill="F0F0F0"/>
        </w:rPr>
        <w:t>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2. Утвердить порядок проведения конкурсного отбора инициативных проектов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21 августа 2021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lastRenderedPageBreak/>
        <w:t xml:space="preserve">3. Образовать комиссию по рассмотрению и утверждению результатов конкурсного отбора инициативных проектов и утвердить в составе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21 августа 2021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4. Утвердить положение о комиссии по рассмотрению и утверждению результатов конкурсного отбора инициативных проектов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4.1 с 21 августа 2021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r>
        <w:t xml:space="preserve">4.1. Установить, что действие </w:t>
      </w:r>
      <w:hyperlink w:anchor="sub_1132" w:history="1">
        <w:r>
          <w:rPr>
            <w:rStyle w:val="a4"/>
          </w:rPr>
          <w:t>подпункта "б" пункта 1.3</w:t>
        </w:r>
      </w:hyperlink>
      <w:r>
        <w:t xml:space="preserve"> приложения к порядку проведения конкурсного отбора инициативных проектов приостанавливается до 1 января 2022 года.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4 февраля 2020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31 января 2020 г. N 34-пп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5. Контроль за исполнением настояще</w:t>
      </w:r>
      <w:r>
        <w:t>го постановления оставляю за собой.</w:t>
      </w:r>
    </w:p>
    <w:p w:rsidR="00000000" w:rsidRDefault="00AF0C21">
      <w:bookmarkStart w:id="9" w:name="sub_6"/>
      <w:r>
        <w:t xml:space="preserve">6. Постановление вступает в силу после его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>, но не ранее 1 января 2017 года.</w:t>
      </w:r>
    </w:p>
    <w:bookmarkEnd w:id="9"/>
    <w:p w:rsidR="00000000" w:rsidRDefault="00AF0C2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</w:pPr>
            <w:r>
              <w:t>Губернатор - председатель Правите</w:t>
            </w:r>
            <w:r>
              <w:t>льства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a"/>
              <w:jc w:val="right"/>
            </w:pPr>
            <w:r>
              <w:t>Ю.А. Берг</w:t>
            </w:r>
          </w:p>
        </w:tc>
      </w:tr>
    </w:tbl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августа 2021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</w:t>
      </w:r>
      <w:r>
        <w:rPr>
          <w:shd w:val="clear" w:color="auto" w:fill="F0F0F0"/>
        </w:rPr>
        <w:t>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 области</w:t>
      </w:r>
      <w:r>
        <w:rPr>
          <w:rStyle w:val="a3"/>
          <w:rFonts w:ascii="Arial" w:hAnsi="Arial" w:cs="Arial"/>
        </w:rPr>
        <w:br/>
        <w:t>от 14 ноября 2016 г. N 851-пп</w:t>
      </w:r>
    </w:p>
    <w:p w:rsidR="00000000" w:rsidRDefault="00AF0C21"/>
    <w:p w:rsidR="00000000" w:rsidRDefault="00AF0C21">
      <w:pPr>
        <w:pStyle w:val="1"/>
      </w:pPr>
      <w:r>
        <w:t>Порядок</w:t>
      </w:r>
      <w:r>
        <w:br/>
        <w:t>проведения конкурсного отбора ини</w:t>
      </w:r>
      <w:r>
        <w:t>циативных проектов</w:t>
      </w:r>
    </w:p>
    <w:p w:rsidR="00000000" w:rsidRDefault="00AF0C21">
      <w:pPr>
        <w:pStyle w:val="ab"/>
      </w:pPr>
      <w:r>
        <w:t>С изменениями и дополнениями от:</w:t>
      </w:r>
    </w:p>
    <w:p w:rsidR="00000000" w:rsidRDefault="00AF0C2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2017 г., 21 мая 2018 г., 29 мая 2019 г., 4 августа 2020 г., 17 августа 2021 г.</w:t>
      </w:r>
    </w:p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1. Настоящий Порядок устанавливает механизм организации и проведения конкурсного отбора в целях осуществления государственной поддержки за счет средств </w:t>
      </w:r>
      <w:hyperlink r:id="rId31" w:history="1">
        <w:r>
          <w:rPr>
            <w:rStyle w:val="a4"/>
          </w:rPr>
          <w:t>областного бюджета</w:t>
        </w:r>
      </w:hyperlink>
      <w:r>
        <w:t xml:space="preserve"> бюджетам мун</w:t>
      </w:r>
      <w:r>
        <w:t>иципальных образований Оренбургской области на реализацию инициативных проектов (далее - конкурсный отбор).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августа 2021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</w:t>
      </w:r>
      <w:r>
        <w:rPr>
          <w:shd w:val="clear" w:color="auto" w:fill="F0F0F0"/>
        </w:rPr>
        <w:lastRenderedPageBreak/>
        <w:t>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2. Уполномоченным органом по организации и проведению конкурсного </w:t>
      </w:r>
      <w:r>
        <w:t>отбора является министерство финансов Оренбургской области (далее - организатор конкурсного отбора).</w:t>
      </w:r>
    </w:p>
    <w:p w:rsidR="00000000" w:rsidRDefault="00AF0C21">
      <w:r>
        <w:t xml:space="preserve">Итоги конкурсного отбора рассматриваются и утверждаются </w:t>
      </w:r>
      <w:hyperlink w:anchor="sub_3000" w:history="1">
        <w:r>
          <w:rPr>
            <w:rStyle w:val="a4"/>
          </w:rPr>
          <w:t>комиссией</w:t>
        </w:r>
      </w:hyperlink>
      <w:r>
        <w:t xml:space="preserve"> по рассмотрению и утверждению результатов конкурсного отбора ин</w:t>
      </w:r>
      <w:r>
        <w:t>ициативных проектов (далее - комиссия).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21 августа 2021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</w:t>
      </w:r>
      <w:r>
        <w:rPr>
          <w:shd w:val="clear" w:color="auto" w:fill="F0F0F0"/>
        </w:rPr>
        <w:t>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3. Участниками конкурсного отбора являются городские округа, имеющие в своем составе сельские населенные пункты, и сельские поселения </w:t>
      </w:r>
      <w:r>
        <w:t>Оренбургской области (далее - участник конкурсного отбора).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21 августа 2021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4. Целями конкурсного отбора являются:</w:t>
      </w:r>
    </w:p>
    <w:p w:rsidR="00000000" w:rsidRDefault="00AF0C21">
      <w:bookmarkStart w:id="15" w:name="sub_1042"/>
      <w:r>
        <w:t>отбор инициативных проектов (далее - прое</w:t>
      </w:r>
      <w:r>
        <w:t xml:space="preserve">кт (проекты)), на софинансирование которых предусмотрено предоставление средств </w:t>
      </w:r>
      <w:hyperlink r:id="rId38" w:history="1">
        <w:r>
          <w:rPr>
            <w:rStyle w:val="a4"/>
          </w:rPr>
          <w:t>областного бюджета</w:t>
        </w:r>
      </w:hyperlink>
      <w:r>
        <w:t xml:space="preserve"> бюджетам муниципальных образований Оренбургской области (далее - средства областного</w:t>
      </w:r>
      <w:r>
        <w:t xml:space="preserve"> бюджета);</w:t>
      </w:r>
    </w:p>
    <w:bookmarkEnd w:id="15"/>
    <w:p w:rsidR="00000000" w:rsidRDefault="00AF0C21">
      <w:r>
        <w:t xml:space="preserve">подготовка предложений о распределении средств </w:t>
      </w:r>
      <w:hyperlink r:id="rId39" w:history="1">
        <w:r>
          <w:rPr>
            <w:rStyle w:val="a4"/>
          </w:rPr>
          <w:t>областного бюджета</w:t>
        </w:r>
      </w:hyperlink>
      <w:r>
        <w:t xml:space="preserve"> между участниками конкурсного отбора.</w:t>
      </w:r>
    </w:p>
    <w:p w:rsidR="00000000" w:rsidRDefault="00AF0C21">
      <w:bookmarkStart w:id="16" w:name="sub_1005"/>
      <w:r>
        <w:t>5. К конкурсному отбору допускаются проекты, направл</w:t>
      </w:r>
      <w:r>
        <w:t xml:space="preserve">енные на решение вопросов местного значения, установленные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местного самоуправления в Российской Федер</w:t>
      </w:r>
      <w:r>
        <w:t>ации" и предусматривающие мероприятия по развитию следующих типов объектов общественной инфраструктуры:</w:t>
      </w:r>
    </w:p>
    <w:bookmarkEnd w:id="16"/>
    <w:p w:rsidR="00000000" w:rsidRDefault="00AF0C21">
      <w:r>
        <w:t>объекты электро-, тепло-, газо- и водоснабжения, водоотведения, снабжения населения топливом;</w:t>
      </w:r>
    </w:p>
    <w:p w:rsidR="00000000" w:rsidRDefault="00AF0C21">
      <w:r>
        <w:t>объекты благоустройства;</w:t>
      </w:r>
    </w:p>
    <w:p w:rsidR="00000000" w:rsidRDefault="00AF0C21">
      <w:r>
        <w:t>автомобильные дороги мест</w:t>
      </w:r>
      <w:r>
        <w:t>ного значения и сооружения на них;</w:t>
      </w:r>
    </w:p>
    <w:p w:rsidR="00000000" w:rsidRDefault="00AF0C21">
      <w:r>
        <w:t>объекты для обеспечения жителей услугами бытового обслуживания;</w:t>
      </w:r>
    </w:p>
    <w:p w:rsidR="00000000" w:rsidRDefault="00AF0C21">
      <w:r>
        <w:t>игровые площадки;</w:t>
      </w:r>
    </w:p>
    <w:p w:rsidR="00000000" w:rsidRDefault="00AF0C21">
      <w:r>
        <w:t>объекты библиотечного обслуживания населения;</w:t>
      </w:r>
    </w:p>
    <w:p w:rsidR="00000000" w:rsidRDefault="00AF0C21">
      <w:r>
        <w:t>объекты культуры;</w:t>
      </w:r>
    </w:p>
    <w:p w:rsidR="00000000" w:rsidRDefault="00AF0C21">
      <w:bookmarkStart w:id="17" w:name="sub_1059"/>
      <w:r>
        <w:t>объекты культурного наследия, находящиеся в собственности участника конкурсного отбора;</w:t>
      </w:r>
    </w:p>
    <w:bookmarkEnd w:id="17"/>
    <w:p w:rsidR="00000000" w:rsidRDefault="00AF0C21">
      <w:r>
        <w:t>объекты физической культуры и массового спорта;</w:t>
      </w:r>
    </w:p>
    <w:p w:rsidR="00000000" w:rsidRDefault="00AF0C21">
      <w:r>
        <w:t>места массового отдыха населения;</w:t>
      </w:r>
    </w:p>
    <w:p w:rsidR="00000000" w:rsidRDefault="00AF0C21">
      <w:r>
        <w:t>места захоронения.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</w:t>
      </w:r>
      <w:r>
        <w:rPr>
          <w:shd w:val="clear" w:color="auto" w:fill="F0F0F0"/>
        </w:rPr>
        <w:t xml:space="preserve">с 21 августа 2021 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AF0C21">
      <w:r>
        <w:t>6. На конкурсный отбор от сельского поселения, в состав которого входят менее четырех сельских населенных пунктов, может быть представлена одна подготовленная администрацией сельского поселения заявка на участие в конкурсном отборе (</w:t>
      </w:r>
      <w:r>
        <w:t xml:space="preserve">далее - заявка (заявки)), </w:t>
      </w:r>
      <w:r>
        <w:lastRenderedPageBreak/>
        <w:t>предусматривающая реализацию проекта на территории одного сельского населенного пункта, входящего в состав сельского поселения.</w:t>
      </w:r>
    </w:p>
    <w:p w:rsidR="00000000" w:rsidRDefault="00AF0C21">
      <w:bookmarkStart w:id="19" w:name="sub_1061"/>
      <w:r>
        <w:t>На конкурсный отбор от сельского поселения, в состав которого входят четыре сельских населенны</w:t>
      </w:r>
      <w:r>
        <w:t>х пункта и более, может быть представлено не более двух подготовленных администрацией сельского поселения заявок, каждая из которых должна предусматривать реализацию проекта на территории отдельного сельского населенного пункта, входящего в состав сельског</w:t>
      </w:r>
      <w:r>
        <w:t>о поселения.</w:t>
      </w:r>
    </w:p>
    <w:p w:rsidR="00000000" w:rsidRDefault="00AF0C21">
      <w:bookmarkStart w:id="20" w:name="sub_1062"/>
      <w:bookmarkEnd w:id="19"/>
      <w:r>
        <w:t>На конкурсный отбор от одного городского округа, в состав которого входят сельские населенные пункты, могут быть представлены заявки, подготовленные администрацией городского округа, предусматривающие реализацию не более одного</w:t>
      </w:r>
      <w:r>
        <w:t xml:space="preserve"> проекта на территории одного сельского населенного пункта, входящего в состав городского округа.</w:t>
      </w:r>
    </w:p>
    <w:p w:rsidR="00000000" w:rsidRDefault="00AF0C21">
      <w:bookmarkStart w:id="21" w:name="sub_1063"/>
      <w:bookmarkEnd w:id="20"/>
      <w:r>
        <w:t xml:space="preserve">Объем средств </w:t>
      </w:r>
      <w:hyperlink r:id="rId43" w:history="1">
        <w:r>
          <w:rPr>
            <w:rStyle w:val="a4"/>
          </w:rPr>
          <w:t>областного бюджета</w:t>
        </w:r>
      </w:hyperlink>
      <w:r>
        <w:t xml:space="preserve"> на реализацию одного проекта составл</w:t>
      </w:r>
      <w:r>
        <w:t>яет не более 1 млн. рублей.</w:t>
      </w:r>
    </w:p>
    <w:bookmarkEnd w:id="21"/>
    <w:p w:rsidR="00000000" w:rsidRDefault="00AF0C21">
      <w:r>
        <w:t>Срок реализации проекта должен ограничиваться годом, в котором осуществляется предоставление средств областного бюджета.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21 августа 2021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7. Организатор ко</w:t>
      </w:r>
      <w:r>
        <w:t>нкурсного отбора осуществляет:</w:t>
      </w:r>
    </w:p>
    <w:p w:rsidR="00000000" w:rsidRDefault="00AF0C21">
      <w:bookmarkStart w:id="23" w:name="sub_1072"/>
      <w:r>
        <w:t xml:space="preserve">опубликование на своем </w:t>
      </w:r>
      <w:hyperlink r:id="rId46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Интернет (далее - официальный сайт) извещения о начале прием</w:t>
      </w:r>
      <w:r>
        <w:t xml:space="preserve">а </w:t>
      </w:r>
      <w:hyperlink r:id="rId47" w:history="1">
        <w:r>
          <w:rPr>
            <w:rStyle w:val="a4"/>
          </w:rPr>
          <w:t>заявок</w:t>
        </w:r>
      </w:hyperlink>
      <w:r>
        <w:t>;</w:t>
      </w:r>
    </w:p>
    <w:bookmarkEnd w:id="23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F0C21">
      <w:pPr>
        <w:pStyle w:val="a6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Оренбургской области от 4 августа 2020 г. N 675-пп </w:t>
      </w:r>
      <w:r>
        <w:rPr>
          <w:shd w:val="clear" w:color="auto" w:fill="F0F0F0"/>
        </w:rPr>
        <w:t>действие абзаца 3 пункта 7 настоящего приложения 1 было приостановлено с 8 августа 2020 г. до 1 января 2021 г.</w:t>
      </w:r>
    </w:p>
    <w:p w:rsidR="00000000" w:rsidRDefault="00AF0C21">
      <w:bookmarkStart w:id="24" w:name="sub_1073"/>
      <w:r>
        <w:t>прием и регистрацию заявок в течение 30 календарных дней со дня опубликования извещения о начале приема заявок;</w:t>
      </w:r>
    </w:p>
    <w:p w:rsidR="00000000" w:rsidRDefault="00AF0C21">
      <w:bookmarkStart w:id="25" w:name="sub_1074"/>
      <w:bookmarkEnd w:id="24"/>
      <w:r>
        <w:t>назначени</w:t>
      </w:r>
      <w:r>
        <w:t>е даты заседания комиссии;</w:t>
      </w:r>
    </w:p>
    <w:p w:rsidR="00000000" w:rsidRDefault="00AF0C21">
      <w:bookmarkStart w:id="26" w:name="sub_1075"/>
      <w:bookmarkEnd w:id="25"/>
      <w:r>
        <w:t>учет и хранение заявок;</w:t>
      </w:r>
    </w:p>
    <w:bookmarkEnd w:id="26"/>
    <w:p w:rsidR="00000000" w:rsidRDefault="00AF0C21">
      <w:r>
        <w:t>ведение реестра заявок;</w:t>
      </w:r>
    </w:p>
    <w:p w:rsidR="00000000" w:rsidRDefault="00AF0C21">
      <w:r>
        <w:t xml:space="preserve">размещение на </w:t>
      </w:r>
      <w:hyperlink r:id="rId49" w:history="1">
        <w:r>
          <w:rPr>
            <w:rStyle w:val="a4"/>
          </w:rPr>
          <w:t>официальном сайте</w:t>
        </w:r>
      </w:hyperlink>
      <w:r>
        <w:t xml:space="preserve"> решений комиссии;</w:t>
      </w:r>
    </w:p>
    <w:p w:rsidR="00000000" w:rsidRDefault="00AF0C21">
      <w:bookmarkStart w:id="27" w:name="sub_1078"/>
      <w:r>
        <w:t>абзац 8 утратил силу с 21</w:t>
      </w:r>
      <w:r>
        <w:t xml:space="preserve"> августа 2021 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Правительства Оренбургской области от 17 августа 2021 г. N 723-пп</w:t>
      </w:r>
    </w:p>
    <w:bookmarkEnd w:id="27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pStyle w:val="a7"/>
        <w:rPr>
          <w:shd w:val="clear" w:color="auto" w:fill="F0F0F0"/>
        </w:rPr>
      </w:pPr>
      <w:bookmarkStart w:id="28" w:name="sub_1008"/>
      <w:r>
        <w:t xml:space="preserve"> </w:t>
      </w:r>
      <w:r>
        <w:rPr>
          <w:shd w:val="clear" w:color="auto" w:fill="F0F0F0"/>
        </w:rPr>
        <w:t xml:space="preserve">Пункт 8 изменен с 21 августа 2021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bookmarkEnd w:id="28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8. Информационное сообщение о проведении конкурсного отбора должно содержать следующую информацию:</w:t>
      </w:r>
    </w:p>
    <w:p w:rsidR="00000000" w:rsidRDefault="00AF0C21">
      <w:r>
        <w:t>наименование и адрес организатора конкурсного отбора;</w:t>
      </w:r>
    </w:p>
    <w:p w:rsidR="00000000" w:rsidRDefault="00AF0C21">
      <w:r>
        <w:t>адрес, дату, время начала и окончания приема заявок;</w:t>
      </w:r>
    </w:p>
    <w:bookmarkStart w:id="29" w:name="sub_1084"/>
    <w:p w:rsidR="00000000" w:rsidRDefault="00AF0C21">
      <w:r>
        <w:fldChar w:fldCharType="begin"/>
      </w:r>
      <w:r>
        <w:instrText>HYPERLINK "http://mobileonline.garant.ru/document/redirect/45817642/1000"</w:instrText>
      </w:r>
      <w:r>
        <w:fldChar w:fldCharType="separate"/>
      </w:r>
      <w:r>
        <w:rPr>
          <w:rStyle w:val="a4"/>
        </w:rPr>
        <w:t>состав</w:t>
      </w:r>
      <w:r>
        <w:fldChar w:fldCharType="end"/>
      </w:r>
      <w:r>
        <w:t xml:space="preserve"> документации, представляемой на конкурсный отбор (далее - </w:t>
      </w:r>
      <w:r>
        <w:t>конкурсная документация), и требования к ее оформлению;</w:t>
      </w:r>
    </w:p>
    <w:bookmarkEnd w:id="29"/>
    <w:p w:rsidR="00000000" w:rsidRDefault="00AF0C21">
      <w:r>
        <w:t>контактные данные.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21 августа 2021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</w:t>
      </w:r>
      <w:r>
        <w:rPr>
          <w:shd w:val="clear" w:color="auto" w:fill="F0F0F0"/>
        </w:rPr>
        <w:t xml:space="preserve">авительства Оренбургской области </w:t>
      </w:r>
      <w:r>
        <w:rPr>
          <w:shd w:val="clear" w:color="auto" w:fill="F0F0F0"/>
        </w:rPr>
        <w:lastRenderedPageBreak/>
        <w:t>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9. Заявка с приложением конкурсной документации представляется участником конкурсного отбор</w:t>
      </w:r>
      <w:r>
        <w:t xml:space="preserve">а организатору конкурсного отбора в сроки, указанные в информационном сообщении о проведении конкурсного отбора, на бумажном носителе и в электронной форме посредством информационной системы по отбору инициативных проектов на сайте </w:t>
      </w:r>
      <w:hyperlink r:id="rId56" w:history="1">
        <w:r>
          <w:rPr>
            <w:rStyle w:val="a4"/>
          </w:rPr>
          <w:t>www.otbor.orb.ru</w:t>
        </w:r>
      </w:hyperlink>
      <w:r>
        <w:t xml:space="preserve"> в информационно-телекоммуникационной сети "Интернет".</w:t>
      </w:r>
    </w:p>
    <w:p w:rsidR="00000000" w:rsidRDefault="00AF0C21">
      <w:r>
        <w:t>Форма заявки, состав конкурсной документации и требования к ее оформлению утверждаются приказом организатора конкурсного отбора, разм</w:t>
      </w:r>
      <w:r>
        <w:t xml:space="preserve">ещаемом на его </w:t>
      </w:r>
      <w:hyperlink r:id="rId57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21 августа 2021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10. При пр</w:t>
      </w:r>
      <w:r>
        <w:t>иеме заявок организатор конкурсного отбора регистрирует их в журнале приема заявок в порядке очередности их поступления с присвоением каждой заявке регистрационного номера, указанием даты и времени регистрации.</w:t>
      </w:r>
    </w:p>
    <w:p w:rsidR="00000000" w:rsidRDefault="00AF0C21">
      <w:bookmarkStart w:id="32" w:name="sub_1011"/>
      <w:r>
        <w:t>11. Участник конкурсного отбора имеет</w:t>
      </w:r>
      <w:r>
        <w:t xml:space="preserve"> право отозвать свою заявку, сообщив об этом письменно организатору конкурсного отбора.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12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21 августа 2021 г. - </w:t>
      </w:r>
      <w:hyperlink r:id="rId60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12. Рассмотрение заявки и конкурсной документации и оценка проектов осуществл</w:t>
      </w:r>
      <w:r>
        <w:t>яются структурным подразделением организатора конкурсного отбора (далее - структурное подразделение), определяемым приказом организатора конкурсного отбора.</w:t>
      </w:r>
    </w:p>
    <w:p w:rsidR="00000000" w:rsidRDefault="00AF0C21">
      <w:r>
        <w:t>Рассмотрение заявки и конкурсной документации и оценка проектов осуществляются в течение 15 рабочих</w:t>
      </w:r>
      <w:r>
        <w:t xml:space="preserve"> дней со дня окончания срока приема заявок, указанного в информационном сообщении о проведении конкурсного отбора.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21 августа 2021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13. При рассмотрении заявки и конкурсной документации стру</w:t>
      </w:r>
      <w:r>
        <w:t>ктурное подразделение осуществляет проверку соответствия:</w:t>
      </w:r>
    </w:p>
    <w:p w:rsidR="00000000" w:rsidRDefault="00AF0C21">
      <w:r>
        <w:t>заявки и конкурсной документации требованиям, установленным приказом организатора конкурсного отбора;</w:t>
      </w:r>
    </w:p>
    <w:p w:rsidR="00000000" w:rsidRDefault="00AF0C21">
      <w:r>
        <w:t xml:space="preserve">проекта </w:t>
      </w:r>
      <w:hyperlink w:anchor="sub_1005" w:history="1">
        <w:r>
          <w:rPr>
            <w:rStyle w:val="a4"/>
          </w:rPr>
          <w:t>пунктам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Порядка.</w:t>
      </w:r>
    </w:p>
    <w:p w:rsidR="00000000" w:rsidRDefault="00AF0C21">
      <w:r>
        <w:t>В с</w:t>
      </w:r>
      <w:r>
        <w:t>лучае несоответствия заявки, конкурсной документации и (или) проекта требованиям, установленным настоящим Порядком, структурное подразделение возвращает участнику конкурсного отбора заявку с конкурсной документацией с письмом о возврате заявки и конкурсной</w:t>
      </w:r>
      <w:r>
        <w:t xml:space="preserve"> документации с указанием причины возврата.</w:t>
      </w:r>
    </w:p>
    <w:p w:rsidR="00000000" w:rsidRDefault="00AF0C21">
      <w:r>
        <w:t>Участники конкурсного отбора вправе в течение трех рабочих дней после получения письма организатора конкурсного отбора о возврате заявки и конкурсной документации повторно представить заявку и конкурсную документ</w:t>
      </w:r>
      <w:r>
        <w:t>ацию на рассмотрение организатору конкурсного отбора при условии устранения причин, послуживших основанием для их возврата.</w:t>
      </w:r>
    </w:p>
    <w:p w:rsidR="00000000" w:rsidRDefault="00AF0C21">
      <w:r>
        <w:t xml:space="preserve">Рассмотрение повторно поданных заявки и конкурсной документации осуществляется структурным подразделением в течение 10 рабочих дней </w:t>
      </w:r>
      <w:r>
        <w:t>со дня их поступления.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5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21 августа 2021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</w:t>
      </w:r>
      <w:r>
        <w:rPr>
          <w:shd w:val="clear" w:color="auto" w:fill="F0F0F0"/>
        </w:rPr>
        <w:t>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14. Оценка проектов осуществляется структурным подразделением в соответствии с методикой балльной оценки значения критериев конкурсного отбора иници</w:t>
      </w:r>
      <w:r>
        <w:t xml:space="preserve">ативных проектов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Порядку (далее - Методика).</w:t>
      </w:r>
    </w:p>
    <w:p w:rsidR="00000000" w:rsidRDefault="00AF0C21">
      <w:bookmarkStart w:id="36" w:name="sub_1015"/>
      <w:r>
        <w:t>15. По результатам оценки проектов структурное подразделение формируется рейтинг проектов в порядке убывания присвоенных им суммарных баллов в с</w:t>
      </w:r>
      <w:r>
        <w:t xml:space="preserve">оответствии с </w:t>
      </w:r>
      <w:hyperlink w:anchor="sub_1100" w:history="1">
        <w:r>
          <w:rPr>
            <w:rStyle w:val="a4"/>
          </w:rPr>
          <w:t>Методикой</w:t>
        </w:r>
      </w:hyperlink>
      <w:r>
        <w:t>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6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21 августа 2021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</w:t>
      </w:r>
      <w:r>
        <w:rPr>
          <w:shd w:val="clear" w:color="auto" w:fill="F0F0F0"/>
        </w:rPr>
        <w:t>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16. По итогам работы по рассмотрению конкурсной документации и оценке проектов структурное подразделение готовит а</w:t>
      </w:r>
      <w:r>
        <w:t xml:space="preserve">налитическую записку с предложениями по распределению средств </w:t>
      </w:r>
      <w:hyperlink r:id="rId68" w:history="1">
        <w:r>
          <w:rPr>
            <w:rStyle w:val="a4"/>
          </w:rPr>
          <w:t>областного бюджета</w:t>
        </w:r>
      </w:hyperlink>
      <w:r>
        <w:t>, направляет ее секретарю комиссии для организации работы по рассмотрению и утверждению результатов кон</w:t>
      </w:r>
      <w:r>
        <w:t>курсного отбора.</w:t>
      </w:r>
    </w:p>
    <w:p w:rsidR="00000000" w:rsidRDefault="00AF0C21">
      <w:bookmarkStart w:id="38" w:name="sub_1162"/>
      <w:r>
        <w:t xml:space="preserve">Комиссия в течение 10 рабочих дней со дня получения от структурного подразделения аналитической записки с предложениями по распределению средств </w:t>
      </w:r>
      <w:hyperlink r:id="rId69" w:history="1">
        <w:r>
          <w:rPr>
            <w:rStyle w:val="a4"/>
          </w:rPr>
          <w:t>областного бюдже</w:t>
        </w:r>
        <w:r>
          <w:rPr>
            <w:rStyle w:val="a4"/>
          </w:rPr>
          <w:t>та</w:t>
        </w:r>
      </w:hyperlink>
      <w:r>
        <w:t xml:space="preserve"> принимает решение об утверждении результатов конкурсного отбора.</w:t>
      </w:r>
    </w:p>
    <w:bookmarkEnd w:id="38"/>
    <w:p w:rsidR="00000000" w:rsidRDefault="00AF0C21">
      <w:r>
        <w:t>Право на получение средств областного бюджета получают муниципальные образования Оренбургской области, имеющие наибольшие значения итоговой оценки проекта. При равной балльной о</w:t>
      </w:r>
      <w:r>
        <w:t>ценке проектов приоритет отдается муниципальному образованию Оренбургской области, подавшему конкурсную документацию организатору конкурсного отбора в более ранние сроки согласно регистрации ее в журнале приема конкурсной документации.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17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9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21 августа 2021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17. В случаях высвобождения средств </w:t>
      </w:r>
      <w:hyperlink r:id="rId72" w:history="1">
        <w:r>
          <w:rPr>
            <w:rStyle w:val="a4"/>
          </w:rPr>
          <w:t>областного бюджета</w:t>
        </w:r>
      </w:hyperlink>
      <w:r>
        <w:t>, установленных нормативными правовыми актами Правительства Оренбу</w:t>
      </w:r>
      <w:r>
        <w:t>ргской области, структурное подразделение готовит аналитическую записку с предложениями о перераспределении высвободившегося объема средств областного бюджета между участниками конкурсного отбора согласно рейтингу проектов и направляет ее секретарю комисси</w:t>
      </w:r>
      <w:r>
        <w:t>и.</w:t>
      </w:r>
    </w:p>
    <w:p w:rsidR="00000000" w:rsidRDefault="00AF0C21">
      <w:bookmarkStart w:id="40" w:name="sub_1172"/>
      <w:r>
        <w:t xml:space="preserve">Комиссия в течение 10 рабочих дней со дня получения от структурного подразделения аналитической записки с предложениями о перераспределении высвободившегося объема средств </w:t>
      </w:r>
      <w:hyperlink r:id="rId73" w:history="1">
        <w:r>
          <w:rPr>
            <w:rStyle w:val="a4"/>
          </w:rPr>
          <w:t>обл</w:t>
        </w:r>
        <w:r>
          <w:rPr>
            <w:rStyle w:val="a4"/>
          </w:rPr>
          <w:t>астного бюджета</w:t>
        </w:r>
      </w:hyperlink>
      <w:r>
        <w:t xml:space="preserve"> между участниками конкурсного отбора согласно рейтингу проектов принимает решение об утверждении предложений о перераспределении средств областного бюджета между участниками конкурсного отбора согласно рейтингу проектов.</w:t>
      </w:r>
    </w:p>
    <w:bookmarkEnd w:id="40"/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21 августа 2021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проведения</w:t>
      </w:r>
      <w:r>
        <w:rPr>
          <w:rStyle w:val="a3"/>
          <w:rFonts w:ascii="Arial" w:hAnsi="Arial" w:cs="Arial"/>
        </w:rPr>
        <w:br/>
        <w:t>конкурсного отбора</w:t>
      </w:r>
      <w:r>
        <w:rPr>
          <w:rStyle w:val="a3"/>
          <w:rFonts w:ascii="Arial" w:hAnsi="Arial" w:cs="Arial"/>
        </w:rPr>
        <w:br/>
        <w:t xml:space="preserve"> инициативных проектов</w:t>
      </w:r>
    </w:p>
    <w:p w:rsidR="00000000" w:rsidRDefault="00AF0C21"/>
    <w:p w:rsidR="00000000" w:rsidRDefault="00AF0C21">
      <w:pPr>
        <w:pStyle w:val="1"/>
      </w:pPr>
      <w:r>
        <w:t>Методика</w:t>
      </w:r>
      <w:r>
        <w:br/>
      </w:r>
      <w:r>
        <w:t>балльной оценки значения критериев конкурсного отбора инициативных проектов</w:t>
      </w:r>
    </w:p>
    <w:p w:rsidR="00000000" w:rsidRDefault="00AF0C21">
      <w:pPr>
        <w:pStyle w:val="ab"/>
      </w:pPr>
      <w:r>
        <w:t>С изменениями и дополнениями от:</w:t>
      </w:r>
    </w:p>
    <w:p w:rsidR="00000000" w:rsidRDefault="00AF0C2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2017 г., 29 мая 2019 г., 4 августа 2020 г., 17 августа 2021 г.</w:t>
      </w:r>
    </w:p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1. Балльная оценка значения критериев конкурсного отбора инициативных проектов (далее - проект (проекты) осуществляется по следующим критериям:</w:t>
      </w:r>
    </w:p>
    <w:p w:rsidR="00000000" w:rsidRDefault="00AF0C21">
      <w:bookmarkStart w:id="43" w:name="sub_1111"/>
      <w:r>
        <w:t>1.1. Источники финансирования проекта:</w:t>
      </w:r>
    </w:p>
    <w:p w:rsidR="00000000" w:rsidRDefault="00AF0C21">
      <w:bookmarkStart w:id="44" w:name="sub_101"/>
      <w:bookmarkEnd w:id="43"/>
      <w:r>
        <w:t>а) уровень</w:t>
      </w:r>
      <w:r>
        <w:t xml:space="preserve"> софинансирования проекта со стороны бюджета городского округа, имеющем в своем составе сельские населенные пункты, или сельского поселения (минимальный уровень - 10 процентов от объема запрашиваемых средств </w:t>
      </w:r>
      <w:hyperlink r:id="rId78" w:history="1">
        <w:r>
          <w:rPr>
            <w:rStyle w:val="a4"/>
          </w:rPr>
          <w:t>областного бюджета</w:t>
        </w:r>
      </w:hyperlink>
      <w:r>
        <w:t>):</w:t>
      </w:r>
    </w:p>
    <w:p w:rsidR="00000000" w:rsidRDefault="00AF0C21">
      <w:bookmarkStart w:id="45" w:name="sub_112"/>
      <w:bookmarkEnd w:id="44"/>
      <w:r>
        <w:t>в случае если уровень софинансирования проекта составляет 10 процентов от объема запрашиваемых средств областного бюджета, начисляется 0,5 балла;</w:t>
      </w:r>
    </w:p>
    <w:p w:rsidR="00000000" w:rsidRDefault="00AF0C21">
      <w:bookmarkStart w:id="46" w:name="sub_113"/>
      <w:bookmarkEnd w:id="45"/>
      <w:r>
        <w:t>в случае если уровень софинансирован</w:t>
      </w:r>
      <w:r>
        <w:t>ия проекта составляет менее 20 процентов от объема запрашиваемых средств областного бюджета, количество начисляемых баллов рассчитывается по следующей формуле:</w:t>
      </w:r>
    </w:p>
    <w:bookmarkEnd w:id="46"/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5525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значен</w:t>
      </w:r>
      <w:r w:rsidR="00AF0C21">
        <w:t>ие показателя, баллов;</w:t>
      </w:r>
    </w:p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уровень софинансирования, процентов;</w:t>
      </w:r>
    </w:p>
    <w:p w:rsidR="00000000" w:rsidRDefault="00AF0C21">
      <w:r>
        <w:t>в случае если уровень софинансирования проекта составляет 20 процентов и более от объема запрашиваемых средств областного бюджета, начисляется 100 баллов;</w:t>
      </w:r>
    </w:p>
    <w:p w:rsidR="00000000" w:rsidRDefault="00AF0C21">
      <w:bookmarkStart w:id="47" w:name="sub_102"/>
      <w:r>
        <w:t xml:space="preserve">б) уровень софинансирования проекта со стороны населения населенного пункта (далее - население) (минимальный уровень - 5 процентов от объема запрашиваемых средств </w:t>
      </w:r>
      <w:hyperlink r:id="rId82" w:history="1">
        <w:r>
          <w:rPr>
            <w:rStyle w:val="a4"/>
          </w:rPr>
          <w:t>областного бюджета</w:t>
        </w:r>
      </w:hyperlink>
      <w:r>
        <w:t>):</w:t>
      </w:r>
    </w:p>
    <w:p w:rsidR="00000000" w:rsidRDefault="00AF0C21">
      <w:bookmarkStart w:id="48" w:name="sub_122"/>
      <w:bookmarkEnd w:id="47"/>
      <w:r>
        <w:t>в случае если уровень софинансирования проекта составляет 5 процентов от объема запрашиваемых средств областного бюджета, начисляется 0,5 балла;</w:t>
      </w:r>
    </w:p>
    <w:p w:rsidR="00000000" w:rsidRDefault="00AF0C21">
      <w:bookmarkStart w:id="49" w:name="sub_123"/>
      <w:bookmarkEnd w:id="48"/>
      <w:r>
        <w:t xml:space="preserve">в случае если уровень софинансирования проекта составляет менее 20 процентов </w:t>
      </w:r>
      <w:r>
        <w:t>от объема запрашиваемых средств областного бюджета, количество начисляемых баллов рассчитывается по следующей формуле:</w:t>
      </w:r>
    </w:p>
    <w:bookmarkEnd w:id="49"/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45732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значение показателя, баллов;</w:t>
      </w:r>
    </w:p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уровень софинансирования, процентов;</w:t>
      </w:r>
    </w:p>
    <w:p w:rsidR="00000000" w:rsidRDefault="00AF0C21">
      <w:r>
        <w:t>в случае если уровень софинансирования проекта составляет 20 процентов и более от объема запрашиваемых средств областного бюджета, начисляется 100 баллов;</w:t>
      </w:r>
    </w:p>
    <w:p w:rsidR="00000000" w:rsidRDefault="00AF0C21">
      <w:bookmarkStart w:id="50" w:name="sub_1201"/>
      <w:r>
        <w:t>б1) вклад населения в реализацию п</w:t>
      </w:r>
      <w:r>
        <w:t>роекта за счет средств самообложения граждан:</w:t>
      </w:r>
    </w:p>
    <w:bookmarkEnd w:id="50"/>
    <w:p w:rsidR="00000000" w:rsidRDefault="00AF0C21">
      <w:r>
        <w:t xml:space="preserve">в случае если население осуществляет вклад в реализацию проекта за счет средств </w:t>
      </w:r>
      <w:r>
        <w:lastRenderedPageBreak/>
        <w:t>самообложения граждан, начисляется 100 баллов;</w:t>
      </w:r>
    </w:p>
    <w:p w:rsidR="00000000" w:rsidRDefault="00AF0C21">
      <w:r>
        <w:t xml:space="preserve">в случае если население не осуществляет вклад в реализацию проекта за счет </w:t>
      </w:r>
      <w:r>
        <w:t>средств самообложения граждан, начисляется 0 баллов;</w:t>
      </w:r>
    </w:p>
    <w:p w:rsidR="00000000" w:rsidRDefault="00AF0C21">
      <w:bookmarkStart w:id="51" w:name="sub_1202"/>
      <w:r>
        <w:t xml:space="preserve">б2) уровень софинансирования проекта за счет дотаций на выравнивание бюджетной обеспеченности муниципальных районов (городских округов), распределяемых из областного бюджета исходя из реализации </w:t>
      </w:r>
      <w:r>
        <w:t>социально значимых мероприятий (минимальный уровень не устанавливается):</w:t>
      </w:r>
    </w:p>
    <w:bookmarkEnd w:id="51"/>
    <w:p w:rsidR="00000000" w:rsidRDefault="00AF0C21">
      <w:r>
        <w:t xml:space="preserve">в случае если уровень софинансирования проекта составляет менее 20 процентов от объема запрашиваемых средств </w:t>
      </w:r>
      <w:hyperlink r:id="rId86" w:history="1">
        <w:r>
          <w:rPr>
            <w:rStyle w:val="a4"/>
          </w:rPr>
          <w:t>областного бюджета</w:t>
        </w:r>
      </w:hyperlink>
      <w:r>
        <w:t>, количество начисляемых баллов рассчитывается по следующей формуле:</w:t>
      </w:r>
    </w:p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1049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AF0C21">
      <w:r>
        <w:t>В - значение показателя в баллах;</w:t>
      </w:r>
    </w:p>
    <w:p w:rsidR="00000000" w:rsidRDefault="00AF0C21">
      <w:r>
        <w:t>S - уровень софинансирования в процентах;</w:t>
      </w:r>
    </w:p>
    <w:p w:rsidR="00000000" w:rsidRDefault="00AF0C21"/>
    <w:p w:rsidR="00000000" w:rsidRDefault="00AF0C21">
      <w:r>
        <w:t>в случае если уровень софинансирования проекта составляет 20 процентов и более от объема запрашиваемых средств областного бюджета, начис</w:t>
      </w:r>
      <w:r>
        <w:t>ляется 100 баллов;</w:t>
      </w:r>
    </w:p>
    <w:p w:rsidR="00000000" w:rsidRDefault="00AF0C21">
      <w:bookmarkStart w:id="52" w:name="sub_103"/>
      <w:r>
        <w:t>в) уровень софинансирования проекта со стороны организаций и других внебюджетных источников, за исключением поступлений от предприятий и организаций муниципальной формы собственности (минимальный уровень не устанавливается):</w:t>
      </w:r>
    </w:p>
    <w:bookmarkEnd w:id="52"/>
    <w:p w:rsidR="00000000" w:rsidRDefault="00AF0C21">
      <w:r>
        <w:t xml:space="preserve">в случае если уровень софинансирования проекта составляет менее 10 процентов от объема запрашиваемых средств </w:t>
      </w:r>
      <w:hyperlink r:id="rId88" w:history="1">
        <w:r>
          <w:rPr>
            <w:rStyle w:val="a4"/>
          </w:rPr>
          <w:t>областного бюджета</w:t>
        </w:r>
      </w:hyperlink>
      <w:r>
        <w:t>, количество начисляемых баллов рассчитывается по след</w:t>
      </w:r>
      <w:r>
        <w:t>ующей формуле:</w:t>
      </w:r>
    </w:p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0953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значение показателя, баллов;</w:t>
      </w:r>
    </w:p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уровень софинансирования, процентов;</w:t>
      </w:r>
    </w:p>
    <w:p w:rsidR="00000000" w:rsidRDefault="00AF0C21">
      <w:r>
        <w:t>в случае если уровень софинансирования проекта составляет 10 процентов и более от объема запрашиваемых средств областного бюджета, начисляется 100 баллов;</w:t>
      </w:r>
    </w:p>
    <w:p w:rsidR="00000000" w:rsidRDefault="00AF0C21">
      <w:bookmarkStart w:id="53" w:name="sub_104"/>
      <w:r>
        <w:t>г) вклад населения, организаций и других внебюджетных источников в реализацию проекта в недене</w:t>
      </w:r>
      <w:r>
        <w:t>жной форме (неоплачиваемый труд, материалы и другие формы):</w:t>
      </w:r>
    </w:p>
    <w:bookmarkEnd w:id="53"/>
    <w:p w:rsidR="00000000" w:rsidRDefault="00AF0C21">
      <w:r>
        <w:t>в случае если население, организации и другие внебюджетные источники осуществляют вклад в реализацию проекта в неденежной форме, начисляется 100 баллов;</w:t>
      </w:r>
    </w:p>
    <w:p w:rsidR="00000000" w:rsidRDefault="00AF0C21">
      <w:r>
        <w:t>в случае если население, организации</w:t>
      </w:r>
      <w:r>
        <w:t xml:space="preserve"> и другие внебюджетные источники не осуществляют вклад в реализацию проекта в неденежной форме, начисляется 0 баллов.</w:t>
      </w:r>
    </w:p>
    <w:p w:rsidR="00000000" w:rsidRDefault="00AF0C21">
      <w:bookmarkStart w:id="54" w:name="sub_1112"/>
      <w:r>
        <w:t>1.2. Социальная и экономическая эффективность реализации проекта:</w:t>
      </w:r>
    </w:p>
    <w:p w:rsidR="00000000" w:rsidRDefault="00AF0C21">
      <w:bookmarkStart w:id="55" w:name="sub_1121"/>
      <w:bookmarkEnd w:id="54"/>
      <w:r>
        <w:t>а) доля благополучателей в общей численности нас</w:t>
      </w:r>
      <w:r>
        <w:t>еления:</w:t>
      </w:r>
    </w:p>
    <w:bookmarkEnd w:id="55"/>
    <w:p w:rsidR="00000000" w:rsidRDefault="00AF0C21">
      <w:r>
        <w:t>количество начисляемых баллов равно доле благополучателей в общей численности населения, процентов;</w:t>
      </w:r>
    </w:p>
    <w:p w:rsidR="00000000" w:rsidRDefault="00AF0C21">
      <w:r>
        <w:t>в случае если численность благополучателей превосходит численность населения, начисляется 100 баллов;</w:t>
      </w:r>
    </w:p>
    <w:p w:rsidR="00000000" w:rsidRDefault="00AF0C21">
      <w:bookmarkStart w:id="56" w:name="sub_1122"/>
      <w:r>
        <w:t>б) доступность финансовых ресу</w:t>
      </w:r>
      <w:r>
        <w:t>рсов, необходимых для содержания и эксплуатации объекта, в отношении которого будет реализован проект:</w:t>
      </w:r>
    </w:p>
    <w:bookmarkEnd w:id="56"/>
    <w:p w:rsidR="00000000" w:rsidRDefault="00AF0C21">
      <w:r>
        <w:t>наличие документально подтвержденных финансовых ресурсов, необходимых для содержания и эксплуатации объекта, в отношении которого будет реализова</w:t>
      </w:r>
      <w:r>
        <w:t>н проект, - 100 баллов;</w:t>
      </w:r>
    </w:p>
    <w:p w:rsidR="00000000" w:rsidRDefault="00AF0C21">
      <w:r>
        <w:t xml:space="preserve">отсутствие документально подтвержденных финансовых ресурсов, необходимых для </w:t>
      </w:r>
      <w:r>
        <w:lastRenderedPageBreak/>
        <w:t>содержания и эксплуатации объекта, в отношении которого будет реализован проект, - 0 баллов.</w:t>
      </w:r>
    </w:p>
    <w:p w:rsidR="00000000" w:rsidRDefault="00AF0C21">
      <w:bookmarkStart w:id="57" w:name="sub_1113"/>
      <w:r>
        <w:t xml:space="preserve">1.3. Степень участия населения в выборе и определении </w:t>
      </w:r>
      <w:r>
        <w:t>параметров проекта:</w:t>
      </w:r>
    </w:p>
    <w:p w:rsidR="00000000" w:rsidRDefault="00AF0C21">
      <w:bookmarkStart w:id="58" w:name="sub_1131"/>
      <w:bookmarkEnd w:id="57"/>
      <w:r>
        <w:t>а) степень участия населения в выборе проекта (согласно протоколам собраний и (или) опросов граждан, и (или) других форм непосредственного осуществления местного самоуправления и участия населения в осуществлении местног</w:t>
      </w:r>
      <w:r>
        <w:t xml:space="preserve">о самоуправления в соответствии с </w:t>
      </w:r>
      <w:hyperlink r:id="rId92" w:history="1">
        <w:r>
          <w:rPr>
            <w:rStyle w:val="a4"/>
          </w:rPr>
          <w:t>главой 5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Федерации"):</w:t>
      </w:r>
    </w:p>
    <w:p w:rsidR="00000000" w:rsidRDefault="00AF0C21">
      <w:bookmarkStart w:id="59" w:name="sub_1312"/>
      <w:bookmarkEnd w:id="58"/>
      <w:r>
        <w:t>в случае если доля участвующего в выборе проекта населения в общей численности населения составляет менее 50 процентов, количество начисляемых баллов рассчитывается по следующей формуле:</w:t>
      </w:r>
    </w:p>
    <w:bookmarkEnd w:id="59"/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13347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7A7558">
      <w:r>
        <w:rPr>
          <w:noProof/>
        </w:rPr>
        <w:drawing>
          <wp:inline distT="0" distB="0" distL="0" distR="0">
            <wp:extent cx="1524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значение показателя, баллов;</w:t>
      </w:r>
    </w:p>
    <w:p w:rsidR="00000000" w:rsidRDefault="007A7558">
      <w:bookmarkStart w:id="60" w:name="sub_1315"/>
      <w:r>
        <w:rPr>
          <w:noProof/>
        </w:rPr>
        <w:drawing>
          <wp:inline distT="0" distB="0" distL="0" distR="0">
            <wp:extent cx="200025" cy="2381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доля участвующего в выборе проекта населения, процентов;</w:t>
      </w:r>
    </w:p>
    <w:p w:rsidR="00000000" w:rsidRDefault="00AF0C21">
      <w:bookmarkStart w:id="61" w:name="sub_1316"/>
      <w:bookmarkEnd w:id="60"/>
      <w:r>
        <w:t>в случае если доля участв</w:t>
      </w:r>
      <w:r>
        <w:t>ующего в выборе проекта населения в общей численности населения составляет 50 процентов и более, начисляется 100 баллов;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132"/>
      <w:bookmarkEnd w:id="6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"/>
    <w:p w:rsidR="00000000" w:rsidRDefault="00AF0C2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"б" пункта 1.3 настоящего приложения </w:t>
      </w:r>
      <w:hyperlink w:anchor="sub_41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с 21 ав</w:t>
      </w:r>
      <w:r>
        <w:rPr>
          <w:shd w:val="clear" w:color="auto" w:fill="F0F0F0"/>
        </w:rPr>
        <w:t>густа 2021 г. до 1 января 2022 г.</w:t>
      </w:r>
    </w:p>
    <w:p w:rsidR="00000000" w:rsidRDefault="00AF0C21">
      <w:pPr>
        <w:pStyle w:val="a6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Оренбургской области от 4 августа 2020 г. N 675-пп действие подпункта "б" подпункта 1.3 пункта 1 настоящего приложения </w:t>
      </w:r>
      <w:r>
        <w:rPr>
          <w:shd w:val="clear" w:color="auto" w:fill="F0F0F0"/>
        </w:rPr>
        <w:t>было приостановлено с 8 августа 2020 г. до 1 января 2021 г.</w:t>
      </w:r>
    </w:p>
    <w:p w:rsidR="00000000" w:rsidRDefault="00AF0C21">
      <w:pPr>
        <w:ind w:firstLine="698"/>
        <w:rPr>
          <w:rStyle w:val="ad"/>
        </w:rPr>
      </w:pPr>
      <w:r>
        <w:rPr>
          <w:rStyle w:val="ad"/>
        </w:rPr>
        <w:t>б) степень участия населения в определении параметров проекта на собрании населения (согласно протоколу собрания населения):</w:t>
      </w:r>
    </w:p>
    <w:p w:rsidR="00000000" w:rsidRDefault="00AF0C21">
      <w:pPr>
        <w:ind w:firstLine="698"/>
        <w:rPr>
          <w:rStyle w:val="ad"/>
        </w:rPr>
      </w:pPr>
      <w:r>
        <w:rPr>
          <w:rStyle w:val="ad"/>
        </w:rPr>
        <w:t>в случае если доля участвующего в собрании населения в общей численност</w:t>
      </w:r>
      <w:r>
        <w:rPr>
          <w:rStyle w:val="ad"/>
        </w:rPr>
        <w:t>и населения составляет менее 10 процентов, количество начисляемых баллов рассчитывается по следующей формуле:</w:t>
      </w:r>
    </w:p>
    <w:p w:rsidR="00000000" w:rsidRDefault="00AF0C21"/>
    <w:p w:rsidR="00000000" w:rsidRDefault="007A7558">
      <w:pPr>
        <w:ind w:firstLine="698"/>
        <w:jc w:val="center"/>
      </w:pPr>
      <w:r>
        <w:rPr>
          <w:rStyle w:val="ad"/>
          <w:noProof/>
        </w:rPr>
        <w:drawing>
          <wp:inline distT="0" distB="0" distL="0" distR="0">
            <wp:extent cx="11334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rPr>
          <w:rStyle w:val="ad"/>
        </w:rPr>
        <w:t>, где:</w:t>
      </w:r>
    </w:p>
    <w:p w:rsidR="00000000" w:rsidRDefault="00AF0C21"/>
    <w:p w:rsidR="00000000" w:rsidRDefault="007A7558">
      <w:pPr>
        <w:ind w:firstLine="698"/>
        <w:rPr>
          <w:rStyle w:val="ad"/>
        </w:rPr>
      </w:pPr>
      <w:r>
        <w:rPr>
          <w:rStyle w:val="ad"/>
          <w:noProof/>
        </w:rPr>
        <w:drawing>
          <wp:inline distT="0" distB="0" distL="0" distR="0">
            <wp:extent cx="14287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rPr>
          <w:rStyle w:val="ad"/>
        </w:rPr>
        <w:t xml:space="preserve"> - значение показателя, баллов;</w:t>
      </w:r>
    </w:p>
    <w:p w:rsidR="00000000" w:rsidRDefault="007A7558">
      <w:pPr>
        <w:ind w:firstLine="698"/>
        <w:rPr>
          <w:rStyle w:val="ad"/>
        </w:rPr>
      </w:pPr>
      <w:r>
        <w:rPr>
          <w:rStyle w:val="ad"/>
          <w:noProof/>
        </w:rPr>
        <w:drawing>
          <wp:inline distT="0" distB="0" distL="0" distR="0">
            <wp:extent cx="1619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rPr>
          <w:rStyle w:val="ad"/>
        </w:rPr>
        <w:t xml:space="preserve"> - доля участвующего в собрании населения, процентов;</w:t>
      </w:r>
    </w:p>
    <w:p w:rsidR="00000000" w:rsidRDefault="00AF0C21">
      <w:pPr>
        <w:ind w:firstLine="698"/>
        <w:rPr>
          <w:rStyle w:val="ad"/>
        </w:rPr>
      </w:pPr>
      <w:r>
        <w:rPr>
          <w:rStyle w:val="ad"/>
        </w:rPr>
        <w:t>в случае если доля участвующего в собрании населения в общей численности населения составляет 10 процентов и более, начисляется 100 баллов;</w:t>
      </w:r>
    </w:p>
    <w:p w:rsidR="00000000" w:rsidRDefault="00AF0C21">
      <w:bookmarkStart w:id="63" w:name="sub_1133"/>
      <w:r>
        <w:t>в) использование средств массовой информации и друг</w:t>
      </w:r>
      <w:r>
        <w:t>их средств информирования населения в процессе выбора проекта:</w:t>
      </w:r>
    </w:p>
    <w:bookmarkEnd w:id="63"/>
    <w:p w:rsidR="00000000" w:rsidRDefault="00AF0C21">
      <w:r>
        <w:t>наличие и регулярное использование специальных информационных стендов - 30 баллов;</w:t>
      </w:r>
    </w:p>
    <w:p w:rsidR="00000000" w:rsidRDefault="00AF0C21">
      <w:r>
        <w:t>наличие публикаций в областных и (или) муниципальных газетах - 20 баллов;</w:t>
      </w:r>
    </w:p>
    <w:p w:rsidR="00000000" w:rsidRDefault="00AF0C21">
      <w:r>
        <w:t>наличие телевизионной переда</w:t>
      </w:r>
      <w:r>
        <w:t>чи, посвященной проекту, - 20 баллов;</w:t>
      </w:r>
    </w:p>
    <w:p w:rsidR="00000000" w:rsidRDefault="00AF0C21">
      <w:r>
        <w:t>размещение соответствующей информации в сети Интернет, в частности, в социальных сетях - 30 баллов;</w:t>
      </w:r>
    </w:p>
    <w:p w:rsidR="00000000" w:rsidRDefault="00AF0C21">
      <w:r>
        <w:t>отсутствие использования средств массовой информации и других средств информирования населения - 0 баллов.</w:t>
      </w:r>
    </w:p>
    <w:p w:rsidR="00000000" w:rsidRDefault="00AF0C21">
      <w:bookmarkStart w:id="64" w:name="sub_1114"/>
      <w:r>
        <w:t>1.4</w:t>
      </w:r>
      <w:r>
        <w:t>. Соответствие проекта принципам универсального дизайна и доступности среды:</w:t>
      </w:r>
    </w:p>
    <w:bookmarkEnd w:id="64"/>
    <w:p w:rsidR="00000000" w:rsidRDefault="00AF0C21">
      <w:r>
        <w:t>в случае если проект соответствует принципам универсального дизайна и доступности среды, начисляется 100 баллов;</w:t>
      </w:r>
    </w:p>
    <w:p w:rsidR="00000000" w:rsidRDefault="00AF0C21">
      <w:r>
        <w:lastRenderedPageBreak/>
        <w:t>в случае если проект не соответствует принципам универсаль</w:t>
      </w:r>
      <w:r>
        <w:t>ного дизайна и доступности среды, начисляется 0 баллов.</w:t>
      </w:r>
    </w:p>
    <w:p w:rsidR="00000000" w:rsidRDefault="00AF0C21">
      <w:bookmarkStart w:id="65" w:name="sub_1115"/>
      <w:r>
        <w:t>1.5. Участие в инициировании проекта социально ориентированных некоммерческих организаций:</w:t>
      </w:r>
    </w:p>
    <w:bookmarkEnd w:id="65"/>
    <w:p w:rsidR="00000000" w:rsidRDefault="00AF0C21">
      <w:r>
        <w:t>в случае если инициатором проекта выступила социально ориентированная некоммерческая организа</w:t>
      </w:r>
      <w:r>
        <w:t>ция, начисляется 100 баллов;</w:t>
      </w:r>
    </w:p>
    <w:p w:rsidR="00000000" w:rsidRDefault="00AF0C21">
      <w:r>
        <w:t>в случае если инициатор проекта не является социально ориентированной некоммерческой организацией, начисляется 0 баллов.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августа 2021 г. - </w:t>
      </w:r>
      <w:hyperlink r:id="rId10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2. Балльная оценка проектов рассчитывается по следующей формуле:</w:t>
      </w:r>
    </w:p>
    <w:p w:rsidR="00000000" w:rsidRDefault="00AF0C21"/>
    <w:p w:rsidR="00000000" w:rsidRDefault="007A7558">
      <w:pPr>
        <w:ind w:firstLine="698"/>
        <w:jc w:val="center"/>
      </w:pPr>
      <w:r>
        <w:rPr>
          <w:noProof/>
        </w:rPr>
        <w:drawing>
          <wp:inline distT="0" distB="0" distL="0" distR="0">
            <wp:extent cx="1438275" cy="704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>, где:</w:t>
      </w:r>
    </w:p>
    <w:p w:rsidR="00000000" w:rsidRDefault="00AF0C21"/>
    <w:p w:rsidR="00000000" w:rsidRDefault="007A7558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балльная оценка i-го проекта;</w:t>
      </w:r>
    </w:p>
    <w:p w:rsidR="00000000" w:rsidRDefault="007A7558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количество баллов, полученных i-м прое</w:t>
      </w:r>
      <w:r w:rsidR="00AF0C21">
        <w:t>ктом по j-му критерию конкурсного отбора проектов;</w:t>
      </w:r>
    </w:p>
    <w:p w:rsidR="00000000" w:rsidRDefault="007A7558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</w:t>
      </w:r>
      <w:hyperlink w:anchor="sub_1103" w:history="1">
        <w:r w:rsidR="00AF0C21">
          <w:rPr>
            <w:rStyle w:val="a4"/>
          </w:rPr>
          <w:t>весовой коэффициент</w:t>
        </w:r>
      </w:hyperlink>
      <w:r w:rsidR="00AF0C21">
        <w:t xml:space="preserve"> по j-му критерию конкурсного отбора проектов;</w:t>
      </w:r>
    </w:p>
    <w:p w:rsidR="00000000" w:rsidRDefault="007A7558">
      <w:r>
        <w:rPr>
          <w:noProof/>
        </w:rPr>
        <w:drawing>
          <wp:inline distT="0" distB="0" distL="0" distR="0">
            <wp:extent cx="142875" cy="23812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C21">
        <w:t xml:space="preserve"> - количество критериев балльной оценки проектов.</w:t>
      </w:r>
    </w:p>
    <w:p w:rsidR="00000000" w:rsidRDefault="00AF0C21"/>
    <w:p w:rsidR="00000000" w:rsidRDefault="00AF0C21">
      <w:pPr>
        <w:pStyle w:val="1"/>
      </w:pPr>
      <w:bookmarkStart w:id="67" w:name="sub_1103"/>
      <w:r>
        <w:t>Значения весовых коэффициентов</w:t>
      </w:r>
      <w:r>
        <w:br/>
        <w:t>критериев конкурсного отбора проектов</w:t>
      </w:r>
    </w:p>
    <w:bookmarkEnd w:id="67"/>
    <w:p w:rsidR="00000000" w:rsidRDefault="00AF0C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4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Наименование критерия конкурсного отбора проектов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Весовой 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Источники финансирования проекта, 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уровень софинансирования проекта со стороны бюджета городского округа, имеющего в своем составе сельские населенные пункты, или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уровень софинанси</w:t>
            </w:r>
            <w:r>
              <w:t>рования проекта со стороны населения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вклад населения в реализацию проекта за счет средств самообложения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уровень софинансирования проекта за счет дотаций на выравнивание бюджетной обеспеченности муниципальных районов (городских округов</w:t>
            </w:r>
            <w:r>
              <w:t xml:space="preserve">), распределяемых из </w:t>
            </w:r>
            <w:hyperlink r:id="rId107" w:history="1">
              <w:r>
                <w:rPr>
                  <w:rStyle w:val="a4"/>
                </w:rPr>
                <w:t>областного бюджета</w:t>
              </w:r>
            </w:hyperlink>
            <w:r>
              <w:t xml:space="preserve"> исходя из реализации социально значимых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уровень софинансирования проекта со стороны организаций и других внебюджетных источн</w:t>
            </w:r>
            <w:r>
              <w:t>иков, за исключением поступлений от предприятий и организаций муниципальной формы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вклад населения, организаций и других внебюджетных источников в реализацию проекта в неденежной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Социальная и экономическая эффективность реализации проекта, 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доля благополучателей в общей численности населения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доступность финансовых ресурсов, необходимых для содержания и эксплуатации объекта, в отношении которого будет реализован проект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bookmarkStart w:id="68" w:name="sub_133"/>
            <w:r>
              <w:t>3.</w:t>
            </w:r>
            <w:bookmarkEnd w:id="68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Степень участия населения в выборе и определении параметров проекта, 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степень участия населения в выборе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bookmarkStart w:id="69" w:name="sub_1333"/>
            <w:r>
              <w:t>степень участия населения в определении параметров проекта на собрании населения</w:t>
            </w:r>
            <w:bookmarkEnd w:id="69"/>
          </w:p>
          <w:p w:rsidR="00000000" w:rsidRDefault="00AF0C2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000000" w:rsidRDefault="00AF0C21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 xml:space="preserve">Названный в предыдущем абзаце критерий </w:t>
            </w:r>
            <w:hyperlink r:id="rId108" w:history="1">
              <w:r>
                <w:rPr>
                  <w:rStyle w:val="a4"/>
                  <w:shd w:val="clear" w:color="auto" w:fill="F0F0F0"/>
                </w:rPr>
                <w:t>не применялся</w:t>
              </w:r>
            </w:hyperlink>
            <w:r>
              <w:rPr>
                <w:shd w:val="clear" w:color="auto" w:fill="F0F0F0"/>
              </w:rPr>
              <w:t xml:space="preserve"> при оценке проектов развития общественной инфраструктуры, основанных на местных инициативах, до 1 января 2021 г.</w:t>
            </w:r>
          </w:p>
          <w:p w:rsidR="00000000" w:rsidRDefault="00AF0C21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использование средств массовой информации и др</w:t>
            </w:r>
            <w:r>
              <w:t>угих средств информирования населения в процессе выбора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Соответствие проекта принципам универсального дизайна и доступности среды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Участие в инициировании проекта социально ориентированных некоммерческих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C21">
            <w:pPr>
              <w:pStyle w:val="ac"/>
            </w:pPr>
            <w: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C21">
            <w:pPr>
              <w:pStyle w:val="aa"/>
              <w:jc w:val="center"/>
            </w:pPr>
            <w:r>
              <w:t>1,00</w:t>
            </w:r>
          </w:p>
        </w:tc>
      </w:tr>
    </w:tbl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21 августа 2021 г. - </w:t>
      </w:r>
      <w:hyperlink r:id="rId1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 области</w:t>
      </w:r>
      <w:r>
        <w:rPr>
          <w:rStyle w:val="a3"/>
          <w:rFonts w:ascii="Arial" w:hAnsi="Arial" w:cs="Arial"/>
        </w:rPr>
        <w:br/>
        <w:t>от 14 ноября 2016 г. N 851-пп</w:t>
      </w:r>
    </w:p>
    <w:p w:rsidR="00000000" w:rsidRDefault="00AF0C21"/>
    <w:p w:rsidR="00000000" w:rsidRDefault="00AF0C21">
      <w:pPr>
        <w:pStyle w:val="1"/>
      </w:pPr>
      <w:r>
        <w:t>Состав</w:t>
      </w:r>
      <w:r>
        <w:br/>
        <w:t>комиссии по рассмотрению и утверждению рез</w:t>
      </w:r>
      <w:r>
        <w:t>ультатов конкурсного отбора инициативных проектов</w:t>
      </w:r>
    </w:p>
    <w:p w:rsidR="00000000" w:rsidRDefault="00AF0C21">
      <w:pPr>
        <w:pStyle w:val="ab"/>
      </w:pPr>
      <w:r>
        <w:t>С изменениями и дополнениями от:</w:t>
      </w:r>
    </w:p>
    <w:p w:rsidR="00000000" w:rsidRDefault="00AF0C2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2017 г., 29 мая 2019 г., 31 января 2020 г., 17 августа 2021 г.</w:t>
      </w:r>
    </w:p>
    <w:p w:rsidR="00000000" w:rsidRDefault="00AF0C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279"/>
        <w:gridCol w:w="7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Мошкова</w:t>
            </w:r>
            <w:r>
              <w:rPr>
                <w:sz w:val="23"/>
                <w:szCs w:val="23"/>
              </w:rPr>
              <w:br/>
              <w:t>Татьяна Геннадьевна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комиссии,</w:t>
            </w:r>
            <w:r>
              <w:rPr>
                <w:sz w:val="23"/>
                <w:szCs w:val="23"/>
              </w:rPr>
              <w:br/>
              <w:t>министр финансов Оренбургской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Крошечкин</w:t>
            </w:r>
            <w:r>
              <w:rPr>
                <w:sz w:val="23"/>
                <w:szCs w:val="23"/>
              </w:rPr>
              <w:br/>
              <w:t>Павел Васильевич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председателя комиссии,</w:t>
            </w:r>
            <w:r>
              <w:rPr>
                <w:sz w:val="23"/>
                <w:szCs w:val="23"/>
              </w:rPr>
              <w:br/>
              <w:t>заместитель министра финансов Оренбургской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Величко</w:t>
            </w:r>
            <w:r>
              <w:rPr>
                <w:sz w:val="23"/>
                <w:szCs w:val="23"/>
              </w:rPr>
              <w:br/>
              <w:t>Антонина Владимировна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комиссии,</w:t>
            </w:r>
            <w:r>
              <w:rPr>
                <w:sz w:val="23"/>
                <w:szCs w:val="23"/>
              </w:rPr>
              <w:br/>
              <w:t>начальник отдела анализа финансового менеджмента министерства финансов Оренбургской обла</w:t>
            </w:r>
            <w:r>
              <w:rPr>
                <w:sz w:val="23"/>
                <w:szCs w:val="23"/>
              </w:rP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Аверьянов</w:t>
            </w:r>
            <w:r>
              <w:rPr>
                <w:sz w:val="23"/>
                <w:szCs w:val="23"/>
              </w:rPr>
              <w:br/>
              <w:t>Геннадий Михайлович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комитета Законодательного Собрания Оренбургской области по образованию, науке, культуре и спорту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Балтина</w:t>
            </w:r>
            <w:r>
              <w:rPr>
                <w:sz w:val="23"/>
                <w:szCs w:val="23"/>
              </w:rPr>
              <w:br/>
              <w:t>Александра Михайловна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общественного совета при м</w:t>
            </w:r>
            <w:r>
              <w:rPr>
                <w:sz w:val="23"/>
                <w:szCs w:val="23"/>
              </w:rPr>
              <w:t>инистерстве финансов Оренбургской области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Ермакова</w:t>
            </w:r>
            <w:r>
              <w:rPr>
                <w:sz w:val="23"/>
                <w:szCs w:val="23"/>
              </w:rPr>
              <w:br/>
              <w:t>Жанна Анатольевна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комитета Законодательного Собрания Оренбургской области по бюджетной, налоговой и финансовой политике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Мирный</w:t>
            </w:r>
            <w:r>
              <w:rPr>
                <w:sz w:val="23"/>
                <w:szCs w:val="23"/>
              </w:rPr>
              <w:br/>
              <w:t>Виктор Борисович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председателя Оренбургской областной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Полухин</w:t>
            </w:r>
            <w:r>
              <w:rPr>
                <w:sz w:val="23"/>
                <w:szCs w:val="23"/>
              </w:rPr>
              <w:br/>
              <w:t>Александр Валерьевич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председателя Правительства Оренбургской области - министр с</w:t>
            </w:r>
            <w:r>
              <w:rPr>
                <w:sz w:val="23"/>
                <w:szCs w:val="23"/>
              </w:rPr>
              <w:t>троительства, жилищно-коммунального, дорожного хозяйства и транспорта Оренбургской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Сухарев</w:t>
            </w:r>
            <w:r>
              <w:rPr>
                <w:sz w:val="23"/>
                <w:szCs w:val="23"/>
              </w:rPr>
              <w:br/>
              <w:t>Игорь Николаевич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вице-губернатор - заместитель председателя Правительства Оренбургской области по внутренней политике - министр региональной и информацион</w:t>
            </w:r>
            <w:r>
              <w:rPr>
                <w:sz w:val="23"/>
                <w:szCs w:val="23"/>
              </w:rPr>
              <w:t>ной политики Оренбургской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Торукало</w:t>
            </w:r>
            <w:r>
              <w:rPr>
                <w:sz w:val="23"/>
                <w:szCs w:val="23"/>
              </w:rPr>
              <w:br/>
              <w:t>Виктория Владимировна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министра социального развития Оренбургской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Шевченко</w:t>
            </w:r>
            <w:r>
              <w:rPr>
                <w:sz w:val="23"/>
                <w:szCs w:val="23"/>
              </w:rPr>
              <w:br/>
              <w:t>Евгения Валерьевна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0C2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министр культуры Оренбургской области</w:t>
            </w:r>
          </w:p>
        </w:tc>
      </w:tr>
    </w:tbl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августа 2021 г. - </w:t>
      </w:r>
      <w:hyperlink r:id="rId1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 области</w:t>
      </w:r>
      <w:r>
        <w:rPr>
          <w:rStyle w:val="a3"/>
          <w:rFonts w:ascii="Arial" w:hAnsi="Arial" w:cs="Arial"/>
        </w:rPr>
        <w:br/>
        <w:t>от 14 ноября 2016 г. N 851-пп</w:t>
      </w:r>
    </w:p>
    <w:p w:rsidR="00000000" w:rsidRDefault="00AF0C21"/>
    <w:p w:rsidR="00000000" w:rsidRDefault="00AF0C21">
      <w:pPr>
        <w:pStyle w:val="1"/>
      </w:pPr>
      <w:r>
        <w:t>Положение</w:t>
      </w:r>
      <w:r>
        <w:br/>
        <w:t>о комиссии по рассмотрению и утверждени</w:t>
      </w:r>
      <w:r>
        <w:t>ю результатов конкурсного отбора инициативных проектов</w:t>
      </w:r>
    </w:p>
    <w:p w:rsidR="00000000" w:rsidRDefault="00AF0C21">
      <w:pPr>
        <w:pStyle w:val="ab"/>
      </w:pPr>
      <w:r>
        <w:t>С изменениями и дополнениями от:</w:t>
      </w:r>
    </w:p>
    <w:p w:rsidR="00000000" w:rsidRDefault="00AF0C2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2017 г., 21 мая 2018 г., 17 августа 2021 г.</w:t>
      </w:r>
    </w:p>
    <w:p w:rsidR="00000000" w:rsidRDefault="00AF0C21"/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21 августа 2021 г. - </w:t>
      </w:r>
      <w:hyperlink r:id="rId1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1. Настоящее Положение определ</w:t>
      </w:r>
      <w:r>
        <w:t>яет порядок деятельности комиссии по рассмотрению и утверждению результатов конкурсного отбора инициативных проектов (далее - проекты).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Оренбургской области от 7 августа 2017 г. N 583-пп пункт 2 настоящего приложения изложен в новой редакции, </w:t>
      </w:r>
      <w:hyperlink r:id="rId11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после </w:t>
      </w:r>
      <w:hyperlink r:id="rId1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постановления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F0C21">
      <w:r>
        <w:lastRenderedPageBreak/>
        <w:t>2. Комиссия по рассмотрению и утвер</w:t>
      </w:r>
      <w:r>
        <w:t>ждению результатов конкурсного отбора проектов (далее - конкурсный отбор) в своей деятельности руководствуется настоящим Положением.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3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25 мая 2018 г. - </w:t>
      </w:r>
      <w:hyperlink r:id="rId1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21 мая 2018 г. N 291-пп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3. Основными задачами комиссии по рассмотрению и у</w:t>
      </w:r>
      <w:r>
        <w:t>тверждению результатов конкурсного отбора (далее - комиссия) являются:</w:t>
      </w:r>
    </w:p>
    <w:p w:rsidR="00000000" w:rsidRDefault="00AF0C21">
      <w:bookmarkStart w:id="75" w:name="sub_3031"/>
      <w:r>
        <w:t>рассмотрение результатов конкурсного отбора;</w:t>
      </w:r>
    </w:p>
    <w:p w:rsidR="00000000" w:rsidRDefault="00AF0C21">
      <w:bookmarkStart w:id="76" w:name="sub_3032"/>
      <w:bookmarkEnd w:id="75"/>
      <w:r>
        <w:t>утверждение результатов конкурсного отбора;</w:t>
      </w:r>
    </w:p>
    <w:p w:rsidR="00000000" w:rsidRDefault="00AF0C21">
      <w:bookmarkStart w:id="77" w:name="sub_3033"/>
      <w:bookmarkEnd w:id="76"/>
      <w:r>
        <w:t>рассмотрение предложений о перераспределении средств обл</w:t>
      </w:r>
      <w:r>
        <w:t>астного бюджета между участниками конкурсного отбора согласно рейтингу проектов;</w:t>
      </w:r>
    </w:p>
    <w:p w:rsidR="00000000" w:rsidRDefault="00AF0C21">
      <w:bookmarkStart w:id="78" w:name="sub_3034"/>
      <w:bookmarkEnd w:id="77"/>
      <w:r>
        <w:t>утверждение предложений о перераспределении средств областного бюджета между участниками конкурсного отбора согласно рейтингу проектов.</w:t>
      </w:r>
    </w:p>
    <w:p w:rsidR="00000000" w:rsidRDefault="00AF0C21">
      <w:bookmarkStart w:id="79" w:name="sub_3004"/>
      <w:bookmarkEnd w:id="78"/>
      <w:r>
        <w:t xml:space="preserve">4. В </w:t>
      </w:r>
      <w:hyperlink w:anchor="sub_2000" w:history="1">
        <w:r>
          <w:rPr>
            <w:rStyle w:val="a4"/>
          </w:rPr>
          <w:t>состав</w:t>
        </w:r>
      </w:hyperlink>
      <w:r>
        <w:t xml:space="preserve"> комиссии входят председатель комиссии, его заместитель, секретарь комиссии, члены комиссии.</w:t>
      </w:r>
    </w:p>
    <w:bookmarkEnd w:id="79"/>
    <w:p w:rsidR="00000000" w:rsidRDefault="00AF0C21">
      <w:r>
        <w:t>Для участия в заседании комиссии могут приглашаться независимые эксперты с правом совещательного голоса.</w:t>
      </w:r>
    </w:p>
    <w:p w:rsidR="00000000" w:rsidRDefault="00AF0C21">
      <w:bookmarkStart w:id="80" w:name="sub_3005"/>
      <w:r>
        <w:t>5. Заседание</w:t>
      </w:r>
      <w:r>
        <w:t xml:space="preserve"> комиссии считается правомочным при условии присутствия на нем более половины ее членов.</w:t>
      </w:r>
    </w:p>
    <w:p w:rsidR="00000000" w:rsidRDefault="00AF0C21">
      <w:bookmarkStart w:id="81" w:name="sub_3006"/>
      <w:bookmarkEnd w:id="80"/>
      <w:r>
        <w:t>6. Председатель комиссии: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3061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21 августа 2021 г. - </w:t>
      </w:r>
      <w:hyperlink r:id="rId1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а) осуществляет общее руководство работой комиссии;</w:t>
      </w:r>
    </w:p>
    <w:p w:rsidR="00000000" w:rsidRDefault="00AF0C21">
      <w:bookmarkStart w:id="83" w:name="sub_3062"/>
      <w:r>
        <w:t>б)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000000" w:rsidRDefault="00AF0C21">
      <w:bookmarkStart w:id="84" w:name="sub_3063"/>
      <w:bookmarkEnd w:id="83"/>
      <w:r>
        <w:t>в) формирует проект повестки для очередного заседани</w:t>
      </w:r>
      <w:r>
        <w:t>я комиссии;</w:t>
      </w:r>
    </w:p>
    <w:p w:rsidR="00000000" w:rsidRDefault="00AF0C21">
      <w:bookmarkStart w:id="85" w:name="sub_3064"/>
      <w:bookmarkEnd w:id="84"/>
      <w:r>
        <w:t>г) в случае необходимости вносит на обсуждение комиссии вопрос о привлечении к работе независимых экспертов.</w:t>
      </w:r>
    </w:p>
    <w:p w:rsidR="00000000" w:rsidRDefault="00AF0C21">
      <w:bookmarkStart w:id="86" w:name="sub_3007"/>
      <w:bookmarkEnd w:id="85"/>
      <w:r>
        <w:t>7. В период временного отсутствия председателя комиссии его полномочия исполняет заместитель председате</w:t>
      </w:r>
      <w:r>
        <w:t>ля комиссии.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3008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21 августа 2021 г. - </w:t>
      </w:r>
      <w:hyperlink r:id="rId1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</w:t>
      </w:r>
      <w:r>
        <w:rPr>
          <w:shd w:val="clear" w:color="auto" w:fill="F0F0F0"/>
        </w:rPr>
        <w:t>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8. Члены комиссии участвуют в заседаниях комиссии и принимают решения по вопросам, отнесенным к ее компетенции.</w:t>
      </w:r>
    </w:p>
    <w:p w:rsidR="00000000" w:rsidRDefault="00AF0C21">
      <w:bookmarkStart w:id="88" w:name="sub_3009"/>
      <w:r>
        <w:t>9. Секретарь комиссии:</w:t>
      </w:r>
    </w:p>
    <w:p w:rsidR="00000000" w:rsidRDefault="00AF0C21">
      <w:bookmarkStart w:id="89" w:name="sub_3091"/>
      <w:bookmarkEnd w:id="88"/>
      <w:r>
        <w:t>а) обеспечивает подготовку материалов к заседанию комиссии;</w:t>
      </w:r>
    </w:p>
    <w:p w:rsidR="00000000" w:rsidRDefault="00AF0C21">
      <w:bookmarkStart w:id="90" w:name="sub_3092"/>
      <w:bookmarkEnd w:id="89"/>
      <w:r>
        <w:t>б) оповещает членов комиссии об очередных ее заседаниях и о повестке дня;</w:t>
      </w:r>
    </w:p>
    <w:p w:rsidR="00000000" w:rsidRDefault="00AF0C21">
      <w:bookmarkStart w:id="91" w:name="sub_3093"/>
      <w:bookmarkEnd w:id="90"/>
      <w:r>
        <w:t>в) ведет протоколы заседаний комиссии.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3010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21 августа 2021 г. - </w:t>
      </w:r>
      <w:hyperlink r:id="rId1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17 августа 2021 г. N 723-пп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 xml:space="preserve">10. Заседание комиссии проводится не позднее 10 рабочих дней со дня получения от </w:t>
      </w:r>
      <w:r>
        <w:lastRenderedPageBreak/>
        <w:t>структурного подразделения министерства финансов Оренбургской области, осуществлявшего рассмотрение и оценку проектов (далее -</w:t>
      </w:r>
      <w:r>
        <w:t xml:space="preserve"> структурное подразделение), аналитической записки с предложениями по распределению средств </w:t>
      </w:r>
      <w:hyperlink r:id="rId127" w:history="1">
        <w:r>
          <w:rPr>
            <w:rStyle w:val="a4"/>
          </w:rPr>
          <w:t>областного бюджета</w:t>
        </w:r>
      </w:hyperlink>
      <w:r>
        <w:t xml:space="preserve"> или о перераспределении средств областного бюджета между участниками кон</w:t>
      </w:r>
      <w:r>
        <w:t>курсного отбора согласно рейтингу проектов.</w:t>
      </w:r>
    </w:p>
    <w:p w:rsidR="00000000" w:rsidRDefault="00AF0C21">
      <w:r>
        <w:t>По результатам заседаний комиссией принимается решение об утверждении результатов конкурсного отбора или о перераспределении высвободившегося объема средств областного бюджета между участниками конкурсного отбора</w:t>
      </w:r>
      <w:r>
        <w:t xml:space="preserve"> согласно рейтингу проектов.</w:t>
      </w:r>
    </w:p>
    <w:p w:rsidR="00000000" w:rsidRDefault="00AF0C21">
      <w:r>
        <w:t xml:space="preserve">Решение комиссии об утверждении результатов конкурсного отбора либо об утверждении предложений о перераспределении средств областного бюджета между участниками конкурсного отбора согласно рейтингу проектов принимается открытым </w:t>
      </w:r>
      <w:r>
        <w:t>голосованием простым большинством голосов. При равенстве голосов голос председательствующего на заседании комиссии является решающим.</w:t>
      </w:r>
    </w:p>
    <w:p w:rsidR="00000000" w:rsidRDefault="00AF0C2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25 мая 2018 г. - </w:t>
      </w:r>
      <w:hyperlink r:id="rId1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Оренбургской области от 21 мая 2018 г. N 291-пп</w:t>
      </w:r>
    </w:p>
    <w:p w:rsidR="00000000" w:rsidRDefault="00AF0C21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0C21">
      <w:r>
        <w:t>11. Решение комиссии оформляется протоколом в те</w:t>
      </w:r>
      <w:r>
        <w:t>чение 3 рабочих дней после заседания комиссии, который подписывается председательствующим на заседании комиссии.</w:t>
      </w:r>
    </w:p>
    <w:p w:rsidR="00000000" w:rsidRDefault="00AF0C21">
      <w:bookmarkStart w:id="94" w:name="sub_3012"/>
      <w:r>
        <w:t xml:space="preserve">12. Информационное сообщение о результатах конкурсного отбора на основании протокола заседания комиссии размещается на </w:t>
      </w:r>
      <w:hyperlink r:id="rId130" w:history="1">
        <w:r>
          <w:rPr>
            <w:rStyle w:val="a4"/>
          </w:rPr>
          <w:t>официальном сайте</w:t>
        </w:r>
      </w:hyperlink>
      <w:r>
        <w:t xml:space="preserve"> организатора конкурсного отбора в сети Интернет не позднее следующего рабочего дня после истечения срока, предусмотренного </w:t>
      </w:r>
      <w:hyperlink w:anchor="sub_3011" w:history="1">
        <w:r>
          <w:rPr>
            <w:rStyle w:val="a4"/>
          </w:rPr>
          <w:t>пунктом 11</w:t>
        </w:r>
      </w:hyperlink>
      <w:r>
        <w:t xml:space="preserve"> настоящего Положения</w:t>
      </w:r>
      <w:r>
        <w:t>.</w:t>
      </w:r>
    </w:p>
    <w:bookmarkEnd w:id="94"/>
    <w:p w:rsidR="00AF0C21" w:rsidRDefault="00AF0C21"/>
    <w:sectPr w:rsidR="00AF0C21">
      <w:headerReference w:type="default" r:id="rId131"/>
      <w:footerReference w:type="default" r:id="rId1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21" w:rsidRDefault="00AF0C21">
      <w:r>
        <w:separator/>
      </w:r>
    </w:p>
  </w:endnote>
  <w:endnote w:type="continuationSeparator" w:id="0">
    <w:p w:rsidR="00AF0C21" w:rsidRDefault="00AF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F0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A75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7558">
            <w:rPr>
              <w:rFonts w:ascii="Times New Roman" w:hAnsi="Times New Roman" w:cs="Times New Roman"/>
              <w:noProof/>
              <w:sz w:val="20"/>
              <w:szCs w:val="20"/>
            </w:rPr>
            <w:t>26.08.2021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F0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F0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75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755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75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7558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21" w:rsidRDefault="00AF0C21">
      <w:r>
        <w:separator/>
      </w:r>
    </w:p>
  </w:footnote>
  <w:footnote w:type="continuationSeparator" w:id="0">
    <w:p w:rsidR="00AF0C21" w:rsidRDefault="00AF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0C2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Оренбургской области от 14 ноября 2016 г. N 851-пп "О реализации на территории…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58"/>
    <w:rsid w:val="007A7558"/>
    <w:rsid w:val="00A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9FBAF-AF24-407E-AC3B-000F686F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45808801/0" TargetMode="External"/><Relationship Id="rId117" Type="http://schemas.openxmlformats.org/officeDocument/2006/relationships/hyperlink" Target="http://mobileonline.garant.ru/document/redirect/45817063/0" TargetMode="External"/><Relationship Id="rId21" Type="http://schemas.openxmlformats.org/officeDocument/2006/relationships/hyperlink" Target="http://mobileonline.garant.ru/document/redirect/402637242/5" TargetMode="External"/><Relationship Id="rId42" Type="http://schemas.openxmlformats.org/officeDocument/2006/relationships/hyperlink" Target="http://mobileonline.garant.ru/document/redirect/27689115/1006" TargetMode="External"/><Relationship Id="rId47" Type="http://schemas.openxmlformats.org/officeDocument/2006/relationships/hyperlink" Target="http://mobileonline.garant.ru/document/redirect/45817642/2000" TargetMode="External"/><Relationship Id="rId63" Type="http://schemas.openxmlformats.org/officeDocument/2006/relationships/hyperlink" Target="http://mobileonline.garant.ru/document/redirect/27689115/1013" TargetMode="External"/><Relationship Id="rId68" Type="http://schemas.openxmlformats.org/officeDocument/2006/relationships/hyperlink" Target="http://mobileonline.garant.ru/document/redirect/27520188/0" TargetMode="External"/><Relationship Id="rId84" Type="http://schemas.openxmlformats.org/officeDocument/2006/relationships/image" Target="media/image5.emf"/><Relationship Id="rId89" Type="http://schemas.openxmlformats.org/officeDocument/2006/relationships/image" Target="media/image8.emf"/><Relationship Id="rId112" Type="http://schemas.openxmlformats.org/officeDocument/2006/relationships/hyperlink" Target="http://mobileonline.garant.ru/document/redirect/27689115/300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mobileonline.garant.ru/document/redirect/186367/16" TargetMode="External"/><Relationship Id="rId107" Type="http://schemas.openxmlformats.org/officeDocument/2006/relationships/hyperlink" Target="http://mobileonline.garant.ru/document/redirect/27520188/0" TargetMode="External"/><Relationship Id="rId11" Type="http://schemas.openxmlformats.org/officeDocument/2006/relationships/hyperlink" Target="http://mobileonline.garant.ru/document/redirect/186367/26110" TargetMode="External"/><Relationship Id="rId32" Type="http://schemas.openxmlformats.org/officeDocument/2006/relationships/hyperlink" Target="http://mobileonline.garant.ru/document/redirect/402637242/11" TargetMode="External"/><Relationship Id="rId37" Type="http://schemas.openxmlformats.org/officeDocument/2006/relationships/hyperlink" Target="http://mobileonline.garant.ru/document/redirect/27689115/1004" TargetMode="External"/><Relationship Id="rId53" Type="http://schemas.openxmlformats.org/officeDocument/2006/relationships/hyperlink" Target="http://mobileonline.garant.ru/document/redirect/27689115/1008" TargetMode="External"/><Relationship Id="rId58" Type="http://schemas.openxmlformats.org/officeDocument/2006/relationships/hyperlink" Target="http://mobileonline.garant.ru/document/redirect/402637242/17" TargetMode="External"/><Relationship Id="rId74" Type="http://schemas.openxmlformats.org/officeDocument/2006/relationships/hyperlink" Target="http://mobileonline.garant.ru/document/redirect/402637242/211" TargetMode="External"/><Relationship Id="rId79" Type="http://schemas.openxmlformats.org/officeDocument/2006/relationships/image" Target="media/image1.emf"/><Relationship Id="rId102" Type="http://schemas.openxmlformats.org/officeDocument/2006/relationships/image" Target="media/image17.emf"/><Relationship Id="rId123" Type="http://schemas.openxmlformats.org/officeDocument/2006/relationships/hyperlink" Target="http://mobileonline.garant.ru/document/redirect/402637242/30" TargetMode="External"/><Relationship Id="rId128" Type="http://schemas.openxmlformats.org/officeDocument/2006/relationships/hyperlink" Target="http://mobileonline.garant.ru/document/redirect/45825726/2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9.emf"/><Relationship Id="rId95" Type="http://schemas.openxmlformats.org/officeDocument/2006/relationships/image" Target="media/image13.emf"/><Relationship Id="rId14" Type="http://schemas.openxmlformats.org/officeDocument/2006/relationships/hyperlink" Target="http://mobileonline.garant.ru/document/redirect/27520188/0" TargetMode="External"/><Relationship Id="rId22" Type="http://schemas.openxmlformats.org/officeDocument/2006/relationships/hyperlink" Target="http://mobileonline.garant.ru/document/redirect/27689115/4" TargetMode="External"/><Relationship Id="rId27" Type="http://schemas.openxmlformats.org/officeDocument/2006/relationships/hyperlink" Target="http://mobileonline.garant.ru/document/redirect/402637242/10" TargetMode="External"/><Relationship Id="rId30" Type="http://schemas.openxmlformats.org/officeDocument/2006/relationships/hyperlink" Target="http://mobileonline.garant.ru/document/redirect/27689115/1001" TargetMode="External"/><Relationship Id="rId35" Type="http://schemas.openxmlformats.org/officeDocument/2006/relationships/hyperlink" Target="http://mobileonline.garant.ru/document/redirect/27689115/1003" TargetMode="External"/><Relationship Id="rId43" Type="http://schemas.openxmlformats.org/officeDocument/2006/relationships/hyperlink" Target="http://mobileonline.garant.ru/document/redirect/27520188/0" TargetMode="External"/><Relationship Id="rId48" Type="http://schemas.openxmlformats.org/officeDocument/2006/relationships/hyperlink" Target="http://mobileonline.garant.ru/document/redirect/74475781/6" TargetMode="External"/><Relationship Id="rId56" Type="http://schemas.openxmlformats.org/officeDocument/2006/relationships/hyperlink" Target="http://mobileonline.garant.ru/document/redirect/27552898/3644" TargetMode="External"/><Relationship Id="rId64" Type="http://schemas.openxmlformats.org/officeDocument/2006/relationships/hyperlink" Target="http://mobileonline.garant.ru/document/redirect/402637242/18" TargetMode="External"/><Relationship Id="rId69" Type="http://schemas.openxmlformats.org/officeDocument/2006/relationships/hyperlink" Target="http://mobileonline.garant.ru/document/redirect/27520188/0" TargetMode="External"/><Relationship Id="rId77" Type="http://schemas.openxmlformats.org/officeDocument/2006/relationships/hyperlink" Target="http://mobileonline.garant.ru/document/redirect/27689115/1101" TargetMode="External"/><Relationship Id="rId100" Type="http://schemas.openxmlformats.org/officeDocument/2006/relationships/hyperlink" Target="http://mobileonline.garant.ru/document/redirect/402637242/213" TargetMode="External"/><Relationship Id="rId105" Type="http://schemas.openxmlformats.org/officeDocument/2006/relationships/image" Target="media/image20.emf"/><Relationship Id="rId113" Type="http://schemas.openxmlformats.org/officeDocument/2006/relationships/hyperlink" Target="http://mobileonline.garant.ru/document/redirect/402637242/28" TargetMode="External"/><Relationship Id="rId118" Type="http://schemas.openxmlformats.org/officeDocument/2006/relationships/hyperlink" Target="http://mobileonline.garant.ru/document/redirect/27597410/3002" TargetMode="External"/><Relationship Id="rId126" Type="http://schemas.openxmlformats.org/officeDocument/2006/relationships/hyperlink" Target="http://mobileonline.garant.ru/document/redirect/27689115/301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mobileonline.garant.ru/document/redirect/27689115/0" TargetMode="External"/><Relationship Id="rId51" Type="http://schemas.openxmlformats.org/officeDocument/2006/relationships/hyperlink" Target="http://mobileonline.garant.ru/document/redirect/27689115/1078" TargetMode="External"/><Relationship Id="rId72" Type="http://schemas.openxmlformats.org/officeDocument/2006/relationships/hyperlink" Target="http://mobileonline.garant.ru/document/redirect/27520188/0" TargetMode="External"/><Relationship Id="rId80" Type="http://schemas.openxmlformats.org/officeDocument/2006/relationships/image" Target="media/image2.emf"/><Relationship Id="rId85" Type="http://schemas.openxmlformats.org/officeDocument/2006/relationships/image" Target="media/image6.emf"/><Relationship Id="rId93" Type="http://schemas.openxmlformats.org/officeDocument/2006/relationships/image" Target="media/image11.emf"/><Relationship Id="rId98" Type="http://schemas.openxmlformats.org/officeDocument/2006/relationships/image" Target="media/image15.emf"/><Relationship Id="rId121" Type="http://schemas.openxmlformats.org/officeDocument/2006/relationships/hyperlink" Target="http://mobileonline.garant.ru/document/redirect/402637242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402637242/4" TargetMode="External"/><Relationship Id="rId17" Type="http://schemas.openxmlformats.org/officeDocument/2006/relationships/hyperlink" Target="http://mobileonline.garant.ru/document/redirect/402637242/5" TargetMode="External"/><Relationship Id="rId25" Type="http://schemas.openxmlformats.org/officeDocument/2006/relationships/hyperlink" Target="http://mobileonline.garant.ru/document/redirect/27547731/5" TargetMode="External"/><Relationship Id="rId33" Type="http://schemas.openxmlformats.org/officeDocument/2006/relationships/hyperlink" Target="http://mobileonline.garant.ru/document/redirect/27689115/1002" TargetMode="External"/><Relationship Id="rId38" Type="http://schemas.openxmlformats.org/officeDocument/2006/relationships/hyperlink" Target="http://mobileonline.garant.ru/document/redirect/27520188/0" TargetMode="External"/><Relationship Id="rId46" Type="http://schemas.openxmlformats.org/officeDocument/2006/relationships/hyperlink" Target="http://mobileonline.garant.ru/document/redirect/27552898/59" TargetMode="External"/><Relationship Id="rId59" Type="http://schemas.openxmlformats.org/officeDocument/2006/relationships/hyperlink" Target="http://mobileonline.garant.ru/document/redirect/27689115/1010" TargetMode="External"/><Relationship Id="rId67" Type="http://schemas.openxmlformats.org/officeDocument/2006/relationships/hyperlink" Target="http://mobileonline.garant.ru/document/redirect/27689115/1016" TargetMode="External"/><Relationship Id="rId103" Type="http://schemas.openxmlformats.org/officeDocument/2006/relationships/image" Target="media/image18.emf"/><Relationship Id="rId108" Type="http://schemas.openxmlformats.org/officeDocument/2006/relationships/hyperlink" Target="http://mobileonline.garant.ru/document/redirect/74475781/10" TargetMode="External"/><Relationship Id="rId116" Type="http://schemas.openxmlformats.org/officeDocument/2006/relationships/hyperlink" Target="http://mobileonline.garant.ru/document/redirect/45817062/2" TargetMode="External"/><Relationship Id="rId124" Type="http://schemas.openxmlformats.org/officeDocument/2006/relationships/hyperlink" Target="http://mobileonline.garant.ru/document/redirect/27689115/3008" TargetMode="External"/><Relationship Id="rId129" Type="http://schemas.openxmlformats.org/officeDocument/2006/relationships/hyperlink" Target="http://mobileonline.garant.ru/document/redirect/27698638/3011" TargetMode="External"/><Relationship Id="rId20" Type="http://schemas.openxmlformats.org/officeDocument/2006/relationships/hyperlink" Target="http://mobileonline.garant.ru/document/redirect/27689115/3" TargetMode="External"/><Relationship Id="rId41" Type="http://schemas.openxmlformats.org/officeDocument/2006/relationships/hyperlink" Target="http://mobileonline.garant.ru/document/redirect/402637242/14" TargetMode="External"/><Relationship Id="rId54" Type="http://schemas.openxmlformats.org/officeDocument/2006/relationships/hyperlink" Target="http://mobileonline.garant.ru/document/redirect/402637242/17" TargetMode="External"/><Relationship Id="rId62" Type="http://schemas.openxmlformats.org/officeDocument/2006/relationships/hyperlink" Target="http://mobileonline.garant.ru/document/redirect/402637242/18" TargetMode="External"/><Relationship Id="rId70" Type="http://schemas.openxmlformats.org/officeDocument/2006/relationships/hyperlink" Target="http://mobileonline.garant.ru/document/redirect/402637242/20" TargetMode="External"/><Relationship Id="rId75" Type="http://schemas.openxmlformats.org/officeDocument/2006/relationships/hyperlink" Target="http://mobileonline.garant.ru/document/redirect/27689115/1100" TargetMode="External"/><Relationship Id="rId83" Type="http://schemas.openxmlformats.org/officeDocument/2006/relationships/image" Target="media/image4.emf"/><Relationship Id="rId88" Type="http://schemas.openxmlformats.org/officeDocument/2006/relationships/hyperlink" Target="http://mobileonline.garant.ru/document/redirect/27520188/0" TargetMode="External"/><Relationship Id="rId91" Type="http://schemas.openxmlformats.org/officeDocument/2006/relationships/image" Target="media/image10.emf"/><Relationship Id="rId96" Type="http://schemas.openxmlformats.org/officeDocument/2006/relationships/hyperlink" Target="http://mobileonline.garant.ru/document/redirect/74475781/8" TargetMode="External"/><Relationship Id="rId111" Type="http://schemas.openxmlformats.org/officeDocument/2006/relationships/hyperlink" Target="http://mobileonline.garant.ru/document/redirect/402637242/27" TargetMode="External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186367/14" TargetMode="External"/><Relationship Id="rId23" Type="http://schemas.openxmlformats.org/officeDocument/2006/relationships/hyperlink" Target="http://mobileonline.garant.ru/document/redirect/402637242/6" TargetMode="External"/><Relationship Id="rId28" Type="http://schemas.openxmlformats.org/officeDocument/2006/relationships/hyperlink" Target="http://mobileonline.garant.ru/document/redirect/27689115/1000" TargetMode="External"/><Relationship Id="rId36" Type="http://schemas.openxmlformats.org/officeDocument/2006/relationships/hyperlink" Target="http://mobileonline.garant.ru/document/redirect/402637242/13" TargetMode="External"/><Relationship Id="rId49" Type="http://schemas.openxmlformats.org/officeDocument/2006/relationships/hyperlink" Target="http://mobileonline.garant.ru/document/redirect/27552898/59" TargetMode="External"/><Relationship Id="rId57" Type="http://schemas.openxmlformats.org/officeDocument/2006/relationships/hyperlink" Target="http://mobileonline.garant.ru/document/redirect/27552898/3597" TargetMode="External"/><Relationship Id="rId106" Type="http://schemas.openxmlformats.org/officeDocument/2006/relationships/image" Target="media/image21.emf"/><Relationship Id="rId114" Type="http://schemas.openxmlformats.org/officeDocument/2006/relationships/hyperlink" Target="http://mobileonline.garant.ru/document/redirect/27689115/3001" TargetMode="External"/><Relationship Id="rId119" Type="http://schemas.openxmlformats.org/officeDocument/2006/relationships/hyperlink" Target="http://mobileonline.garant.ru/document/redirect/45825726/21" TargetMode="External"/><Relationship Id="rId127" Type="http://schemas.openxmlformats.org/officeDocument/2006/relationships/hyperlink" Target="http://mobileonline.garant.ru/document/redirect/27520188/0" TargetMode="External"/><Relationship Id="rId10" Type="http://schemas.openxmlformats.org/officeDocument/2006/relationships/hyperlink" Target="http://mobileonline.garant.ru/document/redirect/27689115/99" TargetMode="External"/><Relationship Id="rId31" Type="http://schemas.openxmlformats.org/officeDocument/2006/relationships/hyperlink" Target="http://mobileonline.garant.ru/document/redirect/27520188/0" TargetMode="External"/><Relationship Id="rId44" Type="http://schemas.openxmlformats.org/officeDocument/2006/relationships/hyperlink" Target="http://mobileonline.garant.ru/document/redirect/402637242/15" TargetMode="External"/><Relationship Id="rId52" Type="http://schemas.openxmlformats.org/officeDocument/2006/relationships/hyperlink" Target="http://mobileonline.garant.ru/document/redirect/402637242/16" TargetMode="External"/><Relationship Id="rId60" Type="http://schemas.openxmlformats.org/officeDocument/2006/relationships/hyperlink" Target="http://mobileonline.garant.ru/document/redirect/402637242/18" TargetMode="External"/><Relationship Id="rId65" Type="http://schemas.openxmlformats.org/officeDocument/2006/relationships/hyperlink" Target="http://mobileonline.garant.ru/document/redirect/27689115/1014" TargetMode="External"/><Relationship Id="rId73" Type="http://schemas.openxmlformats.org/officeDocument/2006/relationships/hyperlink" Target="http://mobileonline.garant.ru/document/redirect/27520188/0" TargetMode="External"/><Relationship Id="rId78" Type="http://schemas.openxmlformats.org/officeDocument/2006/relationships/hyperlink" Target="http://mobileonline.garant.ru/document/redirect/27520188/0" TargetMode="External"/><Relationship Id="rId81" Type="http://schemas.openxmlformats.org/officeDocument/2006/relationships/image" Target="media/image3.emf"/><Relationship Id="rId86" Type="http://schemas.openxmlformats.org/officeDocument/2006/relationships/hyperlink" Target="http://mobileonline.garant.ru/document/redirect/27520188/0" TargetMode="External"/><Relationship Id="rId94" Type="http://schemas.openxmlformats.org/officeDocument/2006/relationships/image" Target="media/image12.emf"/><Relationship Id="rId99" Type="http://schemas.openxmlformats.org/officeDocument/2006/relationships/image" Target="media/image16.emf"/><Relationship Id="rId101" Type="http://schemas.openxmlformats.org/officeDocument/2006/relationships/hyperlink" Target="http://mobileonline.garant.ru/document/redirect/27689115/1102" TargetMode="External"/><Relationship Id="rId122" Type="http://schemas.openxmlformats.org/officeDocument/2006/relationships/hyperlink" Target="http://mobileonline.garant.ru/document/redirect/27689115/3061" TargetMode="External"/><Relationship Id="rId130" Type="http://schemas.openxmlformats.org/officeDocument/2006/relationships/hyperlink" Target="http://mobileonline.garant.ru/document/redirect/27552898/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2637242/3" TargetMode="External"/><Relationship Id="rId13" Type="http://schemas.openxmlformats.org/officeDocument/2006/relationships/hyperlink" Target="http://mobileonline.garant.ru/document/redirect/27689115/1" TargetMode="External"/><Relationship Id="rId18" Type="http://schemas.openxmlformats.org/officeDocument/2006/relationships/hyperlink" Target="http://mobileonline.garant.ru/document/redirect/27689115/2" TargetMode="External"/><Relationship Id="rId39" Type="http://schemas.openxmlformats.org/officeDocument/2006/relationships/hyperlink" Target="http://mobileonline.garant.ru/document/redirect/27520188/0" TargetMode="External"/><Relationship Id="rId109" Type="http://schemas.openxmlformats.org/officeDocument/2006/relationships/hyperlink" Target="http://mobileonline.garant.ru/document/redirect/402637242/23" TargetMode="External"/><Relationship Id="rId34" Type="http://schemas.openxmlformats.org/officeDocument/2006/relationships/hyperlink" Target="http://mobileonline.garant.ru/document/redirect/402637242/12" TargetMode="External"/><Relationship Id="rId50" Type="http://schemas.openxmlformats.org/officeDocument/2006/relationships/hyperlink" Target="http://mobileonline.garant.ru/document/redirect/402637242/32" TargetMode="External"/><Relationship Id="rId55" Type="http://schemas.openxmlformats.org/officeDocument/2006/relationships/hyperlink" Target="http://mobileonline.garant.ru/document/redirect/27689115/1009" TargetMode="External"/><Relationship Id="rId76" Type="http://schemas.openxmlformats.org/officeDocument/2006/relationships/hyperlink" Target="http://mobileonline.garant.ru/document/redirect/402637242/212" TargetMode="External"/><Relationship Id="rId97" Type="http://schemas.openxmlformats.org/officeDocument/2006/relationships/image" Target="media/image14.emf"/><Relationship Id="rId104" Type="http://schemas.openxmlformats.org/officeDocument/2006/relationships/image" Target="media/image19.emf"/><Relationship Id="rId120" Type="http://schemas.openxmlformats.org/officeDocument/2006/relationships/hyperlink" Target="http://mobileonline.garant.ru/document/redirect/27698638/3003" TargetMode="External"/><Relationship Id="rId125" Type="http://schemas.openxmlformats.org/officeDocument/2006/relationships/hyperlink" Target="http://mobileonline.garant.ru/document/redirect/402637242/31" TargetMode="External"/><Relationship Id="rId7" Type="http://schemas.openxmlformats.org/officeDocument/2006/relationships/hyperlink" Target="http://mobileonline.garant.ru/document/redirect/402637242/2" TargetMode="External"/><Relationship Id="rId71" Type="http://schemas.openxmlformats.org/officeDocument/2006/relationships/hyperlink" Target="http://mobileonline.garant.ru/document/redirect/27689115/1017" TargetMode="External"/><Relationship Id="rId92" Type="http://schemas.openxmlformats.org/officeDocument/2006/relationships/hyperlink" Target="http://mobileonline.garant.ru/document/redirect/186367/500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402637242/11" TargetMode="External"/><Relationship Id="rId24" Type="http://schemas.openxmlformats.org/officeDocument/2006/relationships/hyperlink" Target="http://mobileonline.garant.ru/document/redirect/73493101/1" TargetMode="External"/><Relationship Id="rId40" Type="http://schemas.openxmlformats.org/officeDocument/2006/relationships/hyperlink" Target="http://mobileonline.garant.ru/document/redirect/186367/0" TargetMode="External"/><Relationship Id="rId45" Type="http://schemas.openxmlformats.org/officeDocument/2006/relationships/hyperlink" Target="http://mobileonline.garant.ru/document/redirect/27689115/1007" TargetMode="External"/><Relationship Id="rId66" Type="http://schemas.openxmlformats.org/officeDocument/2006/relationships/hyperlink" Target="http://mobileonline.garant.ru/document/redirect/402637242/19" TargetMode="External"/><Relationship Id="rId87" Type="http://schemas.openxmlformats.org/officeDocument/2006/relationships/image" Target="media/image7.emf"/><Relationship Id="rId110" Type="http://schemas.openxmlformats.org/officeDocument/2006/relationships/hyperlink" Target="http://mobileonline.garant.ru/document/redirect/27689115/2000" TargetMode="External"/><Relationship Id="rId115" Type="http://schemas.openxmlformats.org/officeDocument/2006/relationships/hyperlink" Target="http://mobileonline.garant.ru/document/redirect/45817062/172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mobileonline.garant.ru/document/redirect/27689115/1012" TargetMode="External"/><Relationship Id="rId82" Type="http://schemas.openxmlformats.org/officeDocument/2006/relationships/hyperlink" Target="http://mobileonline.garant.ru/document/redirect/27520188/0" TargetMode="External"/><Relationship Id="rId19" Type="http://schemas.openxmlformats.org/officeDocument/2006/relationships/hyperlink" Target="http://mobileonline.garant.ru/document/redirect/402637242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2021-08-26T11:43:00Z</dcterms:created>
  <dcterms:modified xsi:type="dcterms:W3CDTF">2021-08-26T11:43:00Z</dcterms:modified>
</cp:coreProperties>
</file>