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E9" w:rsidRDefault="00DD34E9" w:rsidP="00DD34E9">
      <w:pPr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Муниципальная программа</w:t>
      </w:r>
    </w:p>
    <w:p w:rsidR="00DD34E9" w:rsidRDefault="00DD34E9" w:rsidP="00DD34E9">
      <w:pPr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«Развитие системы  </w:t>
      </w:r>
      <w:proofErr w:type="spellStart"/>
      <w:r>
        <w:rPr>
          <w:b/>
          <w:bCs/>
          <w:szCs w:val="28"/>
        </w:rPr>
        <w:t>градорегулирования</w:t>
      </w:r>
      <w:proofErr w:type="spellEnd"/>
      <w:r>
        <w:rPr>
          <w:b/>
          <w:bCs/>
          <w:szCs w:val="28"/>
        </w:rPr>
        <w:t xml:space="preserve"> муниципального образования </w:t>
      </w:r>
      <w:proofErr w:type="spellStart"/>
      <w:r w:rsidRPr="00E01386">
        <w:rPr>
          <w:b/>
          <w:szCs w:val="28"/>
        </w:rPr>
        <w:t>Верхнечебеньковский</w:t>
      </w:r>
      <w:proofErr w:type="spellEnd"/>
      <w:r>
        <w:rPr>
          <w:b/>
          <w:bCs/>
          <w:szCs w:val="28"/>
        </w:rPr>
        <w:t xml:space="preserve"> сель</w:t>
      </w:r>
      <w:r w:rsidR="00E10245">
        <w:rPr>
          <w:b/>
          <w:bCs/>
          <w:szCs w:val="28"/>
        </w:rPr>
        <w:t xml:space="preserve">совет </w:t>
      </w:r>
      <w:proofErr w:type="spellStart"/>
      <w:r w:rsidR="00E10245">
        <w:rPr>
          <w:b/>
          <w:bCs/>
          <w:szCs w:val="28"/>
        </w:rPr>
        <w:t>Сакмарского</w:t>
      </w:r>
      <w:proofErr w:type="spellEnd"/>
      <w:r w:rsidR="00E10245">
        <w:rPr>
          <w:b/>
          <w:bCs/>
          <w:szCs w:val="28"/>
        </w:rPr>
        <w:t xml:space="preserve"> района на 20</w:t>
      </w:r>
      <w:r w:rsidR="00E10245" w:rsidRPr="00E10245">
        <w:rPr>
          <w:b/>
          <w:bCs/>
          <w:szCs w:val="28"/>
        </w:rPr>
        <w:t>21</w:t>
      </w:r>
      <w:r w:rsidR="00E10245">
        <w:rPr>
          <w:b/>
          <w:bCs/>
          <w:szCs w:val="28"/>
        </w:rPr>
        <w:t>-20</w:t>
      </w:r>
      <w:r w:rsidR="00E10245" w:rsidRPr="00E10245">
        <w:rPr>
          <w:b/>
          <w:bCs/>
          <w:szCs w:val="28"/>
        </w:rPr>
        <w:t>25</w:t>
      </w:r>
      <w:r>
        <w:rPr>
          <w:b/>
          <w:bCs/>
          <w:szCs w:val="28"/>
        </w:rPr>
        <w:t xml:space="preserve"> годы»</w:t>
      </w:r>
    </w:p>
    <w:p w:rsidR="00DD34E9" w:rsidRDefault="00DD34E9" w:rsidP="00DD34E9">
      <w:pPr>
        <w:spacing w:line="240" w:lineRule="auto"/>
        <w:jc w:val="center"/>
        <w:rPr>
          <w:b/>
          <w:bCs/>
          <w:szCs w:val="28"/>
        </w:rPr>
      </w:pPr>
    </w:p>
    <w:p w:rsidR="00DD34E9" w:rsidRDefault="00DD34E9" w:rsidP="00DD34E9">
      <w:pPr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Паспорт программы</w:t>
      </w:r>
    </w:p>
    <w:p w:rsidR="00DD34E9" w:rsidRDefault="00DD34E9" w:rsidP="00DD34E9">
      <w:pPr>
        <w:spacing w:line="240" w:lineRule="auto"/>
        <w:jc w:val="both"/>
        <w:rPr>
          <w:sz w:val="16"/>
          <w:szCs w:val="16"/>
        </w:rPr>
      </w:pPr>
      <w:r>
        <w:rPr>
          <w:szCs w:val="28"/>
        </w:rPr>
        <w:t xml:space="preserve">      </w:t>
      </w:r>
    </w:p>
    <w:tbl>
      <w:tblPr>
        <w:tblW w:w="0" w:type="auto"/>
        <w:tblLook w:val="04A0"/>
      </w:tblPr>
      <w:tblGrid>
        <w:gridCol w:w="3369"/>
        <w:gridCol w:w="6202"/>
      </w:tblGrid>
      <w:tr w:rsidR="00DD34E9" w:rsidTr="002540BE">
        <w:tc>
          <w:tcPr>
            <w:tcW w:w="3369" w:type="dxa"/>
          </w:tcPr>
          <w:p w:rsidR="00DD34E9" w:rsidRDefault="00DD34E9" w:rsidP="002540BE">
            <w:pPr>
              <w:autoSpaceDN w:val="0"/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Ответственный исполнитель программы</w:t>
            </w:r>
          </w:p>
        </w:tc>
        <w:tc>
          <w:tcPr>
            <w:tcW w:w="0" w:type="auto"/>
          </w:tcPr>
          <w:p w:rsidR="00DD34E9" w:rsidRDefault="00DD34E9" w:rsidP="002540BE">
            <w:pPr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Администрация муниципального образования </w:t>
            </w:r>
            <w:r w:rsidRPr="00E01386">
              <w:rPr>
                <w:szCs w:val="28"/>
              </w:rPr>
              <w:t>Верхнечебеньковский</w:t>
            </w:r>
            <w:r>
              <w:rPr>
                <w:color w:val="000000"/>
                <w:szCs w:val="28"/>
              </w:rPr>
              <w:t xml:space="preserve"> сельсовет Сакмарского района Оренбургской области</w:t>
            </w:r>
          </w:p>
          <w:p w:rsidR="00DD34E9" w:rsidRDefault="00DD34E9" w:rsidP="002540BE">
            <w:pPr>
              <w:autoSpaceDN w:val="0"/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</w:tr>
      <w:tr w:rsidR="00DD34E9" w:rsidTr="002540BE">
        <w:tc>
          <w:tcPr>
            <w:tcW w:w="3369" w:type="dxa"/>
          </w:tcPr>
          <w:p w:rsidR="00DD34E9" w:rsidRDefault="00DD34E9" w:rsidP="002540BE">
            <w:pPr>
              <w:autoSpaceDN w:val="0"/>
              <w:spacing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Программно-целевые</w:t>
            </w:r>
          </w:p>
          <w:p w:rsidR="00DD34E9" w:rsidRDefault="00DD34E9" w:rsidP="002540BE">
            <w:pPr>
              <w:autoSpaceDN w:val="0"/>
              <w:spacing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Инструменты программы</w:t>
            </w:r>
          </w:p>
        </w:tc>
        <w:tc>
          <w:tcPr>
            <w:tcW w:w="0" w:type="auto"/>
          </w:tcPr>
          <w:p w:rsidR="00DD34E9" w:rsidRDefault="00DD34E9" w:rsidP="002540BE">
            <w:pPr>
              <w:spacing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отсутствуют</w:t>
            </w:r>
          </w:p>
        </w:tc>
      </w:tr>
      <w:tr w:rsidR="00DD34E9" w:rsidTr="002540BE">
        <w:trPr>
          <w:trHeight w:val="272"/>
        </w:trPr>
        <w:tc>
          <w:tcPr>
            <w:tcW w:w="3369" w:type="dxa"/>
          </w:tcPr>
          <w:p w:rsidR="00DD34E9" w:rsidRDefault="00DD34E9" w:rsidP="002540BE">
            <w:pPr>
              <w:autoSpaceDN w:val="0"/>
              <w:spacing w:line="240" w:lineRule="auto"/>
              <w:jc w:val="both"/>
              <w:rPr>
                <w:szCs w:val="28"/>
              </w:rPr>
            </w:pPr>
          </w:p>
          <w:p w:rsidR="00DD34E9" w:rsidRDefault="00DD34E9" w:rsidP="002540BE">
            <w:pPr>
              <w:autoSpaceDN w:val="0"/>
              <w:spacing w:line="240" w:lineRule="auto"/>
              <w:jc w:val="both"/>
              <w:rPr>
                <w:rFonts w:eastAsia="Times New Roman"/>
                <w:szCs w:val="28"/>
              </w:rPr>
            </w:pPr>
            <w:r>
              <w:rPr>
                <w:szCs w:val="28"/>
              </w:rPr>
              <w:t>Цели программы</w:t>
            </w:r>
          </w:p>
          <w:p w:rsidR="00DD34E9" w:rsidRPr="00060E58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Pr="00060E58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Pr="00060E58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Pr="00060E58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Pr="00060E58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Pr="00060E58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Pr="00060E58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Pr="00060E58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Pr="00060E58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Pr="00060E58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Default="00DD34E9" w:rsidP="002540BE">
            <w:pPr>
              <w:rPr>
                <w:rFonts w:eastAsia="Times New Roman"/>
                <w:szCs w:val="28"/>
              </w:rPr>
            </w:pPr>
          </w:p>
          <w:p w:rsidR="00DD34E9" w:rsidRPr="00060E58" w:rsidRDefault="00DD34E9" w:rsidP="002540BE">
            <w:pPr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Основные мероприятия</w:t>
            </w:r>
          </w:p>
        </w:tc>
        <w:tc>
          <w:tcPr>
            <w:tcW w:w="0" w:type="auto"/>
          </w:tcPr>
          <w:p w:rsidR="00DD34E9" w:rsidRDefault="00DD34E9" w:rsidP="002540BE">
            <w:pPr>
              <w:spacing w:line="240" w:lineRule="auto"/>
              <w:jc w:val="both"/>
              <w:rPr>
                <w:color w:val="000000"/>
                <w:szCs w:val="28"/>
              </w:rPr>
            </w:pPr>
          </w:p>
          <w:p w:rsidR="00DD34E9" w:rsidRDefault="00DD34E9" w:rsidP="002540BE">
            <w:pPr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определение долгосрочной стратегии и этапов градостроительного планирования развития территории муниципального образования  </w:t>
            </w:r>
            <w:r w:rsidRPr="00E01386">
              <w:rPr>
                <w:szCs w:val="28"/>
              </w:rPr>
              <w:t>Верхнечебеньковский</w:t>
            </w:r>
            <w:r>
              <w:rPr>
                <w:color w:val="000000"/>
                <w:szCs w:val="28"/>
              </w:rPr>
              <w:t xml:space="preserve"> сельсовет;</w:t>
            </w:r>
          </w:p>
          <w:p w:rsidR="00DD34E9" w:rsidRDefault="00DD34E9" w:rsidP="002540BE">
            <w:pPr>
              <w:spacing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определение условий формирования среды жизнедеятельности на основе комплексной оценки состояния поселковой среды;</w:t>
            </w:r>
          </w:p>
          <w:p w:rsidR="00DD34E9" w:rsidRDefault="00DD34E9" w:rsidP="002540BE">
            <w:pPr>
              <w:spacing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определение ресурсного потенциала территории и рационального природопользования;</w:t>
            </w:r>
          </w:p>
          <w:p w:rsidR="00DD34E9" w:rsidRDefault="00DD34E9" w:rsidP="002540BE">
            <w:pPr>
              <w:spacing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выбор оптимального решения архитектурно-планировочной организации и функционального зонирования территории поселения.</w:t>
            </w:r>
          </w:p>
          <w:p w:rsidR="00DD34E9" w:rsidRDefault="00DD34E9" w:rsidP="002540BE">
            <w:pPr>
              <w:spacing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качественное и количественное развитие жилищного фонда.</w:t>
            </w:r>
          </w:p>
          <w:p w:rsidR="00DD34E9" w:rsidRDefault="00DD34E9" w:rsidP="002540BE">
            <w:pPr>
              <w:spacing w:line="240" w:lineRule="auto"/>
              <w:jc w:val="both"/>
              <w:rPr>
                <w:color w:val="000000"/>
                <w:szCs w:val="28"/>
              </w:rPr>
            </w:pPr>
          </w:p>
          <w:p w:rsidR="00DD34E9" w:rsidRDefault="00DD34E9" w:rsidP="002540BE">
            <w:pPr>
              <w:spacing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о</w:t>
            </w:r>
            <w:r w:rsidRPr="00604447">
              <w:rPr>
                <w:color w:val="000000"/>
                <w:szCs w:val="28"/>
              </w:rPr>
              <w:t>беспечение осуществления муниципальным районом переданных полномочий Верхнечебеньковского сельсовета</w:t>
            </w:r>
            <w:r>
              <w:rPr>
                <w:color w:val="000000"/>
                <w:szCs w:val="28"/>
              </w:rPr>
              <w:t>;</w:t>
            </w:r>
          </w:p>
          <w:p w:rsidR="00DD34E9" w:rsidRDefault="00DD34E9" w:rsidP="002540BE">
            <w:pPr>
              <w:autoSpaceDN w:val="0"/>
              <w:spacing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р</w:t>
            </w:r>
            <w:r w:rsidRPr="00604447">
              <w:rPr>
                <w:color w:val="000000"/>
                <w:szCs w:val="28"/>
              </w:rPr>
              <w:t>азработка проектов, подготовка документов в сфере градостроительной деятельности</w:t>
            </w:r>
            <w:r>
              <w:rPr>
                <w:color w:val="000000"/>
                <w:szCs w:val="28"/>
              </w:rPr>
              <w:t>;</w:t>
            </w:r>
          </w:p>
          <w:p w:rsidR="00DD34E9" w:rsidRPr="00A550E4" w:rsidRDefault="00DD34E9" w:rsidP="002540BE">
            <w:pPr>
              <w:autoSpaceDN w:val="0"/>
              <w:spacing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A550E4">
              <w:rPr>
                <w:szCs w:val="28"/>
              </w:rPr>
              <w:t>подготовка документов для внесения сведений в государственный кадастр недвижимости</w:t>
            </w:r>
            <w:r>
              <w:rPr>
                <w:szCs w:val="28"/>
              </w:rPr>
              <w:t>.</w:t>
            </w:r>
          </w:p>
          <w:p w:rsidR="00DD34E9" w:rsidRDefault="00DD34E9" w:rsidP="002540BE">
            <w:pPr>
              <w:autoSpaceDN w:val="0"/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</w:tr>
      <w:tr w:rsidR="00DD34E9" w:rsidTr="002540BE">
        <w:trPr>
          <w:trHeight w:val="919"/>
        </w:trPr>
        <w:tc>
          <w:tcPr>
            <w:tcW w:w="3369" w:type="dxa"/>
          </w:tcPr>
          <w:p w:rsidR="00DD34E9" w:rsidRDefault="00DD34E9" w:rsidP="002540BE">
            <w:pPr>
              <w:spacing w:line="240" w:lineRule="auto"/>
              <w:rPr>
                <w:rFonts w:eastAsia="Times New Roman"/>
                <w:szCs w:val="28"/>
              </w:rPr>
            </w:pPr>
            <w:r>
              <w:rPr>
                <w:szCs w:val="28"/>
              </w:rPr>
              <w:t xml:space="preserve">Важнейшие целевые индикаторы  и показатели  </w:t>
            </w:r>
          </w:p>
          <w:p w:rsidR="00DD34E9" w:rsidRDefault="00DD34E9" w:rsidP="002540BE">
            <w:pPr>
              <w:autoSpaceDN w:val="0"/>
              <w:spacing w:line="240" w:lineRule="auto"/>
              <w:rPr>
                <w:rFonts w:eastAsia="Times New Roman"/>
              </w:rPr>
            </w:pPr>
          </w:p>
        </w:tc>
        <w:tc>
          <w:tcPr>
            <w:tcW w:w="0" w:type="auto"/>
          </w:tcPr>
          <w:p w:rsidR="00DD34E9" w:rsidRDefault="00E10245" w:rsidP="002540BE">
            <w:pPr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Достижение к 202</w:t>
            </w:r>
            <w:r w:rsidRPr="00E10245">
              <w:rPr>
                <w:color w:val="000000"/>
                <w:szCs w:val="28"/>
              </w:rPr>
              <w:t>6</w:t>
            </w:r>
            <w:r w:rsidR="00DD34E9">
              <w:rPr>
                <w:color w:val="000000"/>
                <w:szCs w:val="28"/>
              </w:rPr>
              <w:t xml:space="preserve"> году следующих показателей:</w:t>
            </w:r>
          </w:p>
          <w:p w:rsidR="00DD34E9" w:rsidRDefault="00DD34E9" w:rsidP="002540BE">
            <w:pPr>
              <w:spacing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наличие документов по разработке местных нормативов градостроительного проектирования;</w:t>
            </w:r>
          </w:p>
          <w:p w:rsidR="00DD34E9" w:rsidRPr="000C13F1" w:rsidRDefault="00DD34E9" w:rsidP="002540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C13F1">
              <w:rPr>
                <w:rFonts w:ascii="Times New Roman" w:hAnsi="Times New Roman" w:cs="Times New Roman"/>
                <w:sz w:val="28"/>
                <w:szCs w:val="28"/>
              </w:rPr>
              <w:t xml:space="preserve">- наличие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утвержденных границ муниципального образования</w:t>
            </w:r>
            <w:r w:rsidRPr="000C13F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34E9" w:rsidRPr="000C13F1" w:rsidRDefault="00DD34E9" w:rsidP="002540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C13F1">
              <w:rPr>
                <w:rFonts w:ascii="Times New Roman" w:hAnsi="Times New Roman" w:cs="Times New Roman"/>
                <w:sz w:val="28"/>
                <w:szCs w:val="28"/>
              </w:rPr>
              <w:t>- наличие утвержде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нных границ  населенных пунктов.</w:t>
            </w:r>
            <w:r w:rsidRPr="000C1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34E9" w:rsidRPr="00F5099A" w:rsidRDefault="00DD34E9" w:rsidP="002540BE">
            <w:pPr>
              <w:spacing w:line="240" w:lineRule="auto"/>
              <w:jc w:val="both"/>
              <w:rPr>
                <w:color w:val="000000"/>
                <w:szCs w:val="28"/>
              </w:rPr>
            </w:pPr>
          </w:p>
        </w:tc>
      </w:tr>
      <w:tr w:rsidR="00DD34E9" w:rsidTr="002540BE">
        <w:trPr>
          <w:trHeight w:val="986"/>
        </w:trPr>
        <w:tc>
          <w:tcPr>
            <w:tcW w:w="3369" w:type="dxa"/>
          </w:tcPr>
          <w:p w:rsidR="00DD34E9" w:rsidRDefault="00DD34E9" w:rsidP="002540BE">
            <w:pPr>
              <w:autoSpaceDN w:val="0"/>
              <w:spacing w:line="240" w:lineRule="auto"/>
              <w:rPr>
                <w:rFonts w:eastAsia="Times New Roman"/>
                <w:color w:val="000000"/>
                <w:szCs w:val="28"/>
                <w:lang w:val="en-US"/>
              </w:rPr>
            </w:pPr>
            <w:r>
              <w:rPr>
                <w:color w:val="000000"/>
                <w:szCs w:val="28"/>
              </w:rPr>
              <w:lastRenderedPageBreak/>
              <w:t>Сроки реализации Программы:</w:t>
            </w:r>
          </w:p>
        </w:tc>
        <w:tc>
          <w:tcPr>
            <w:tcW w:w="0" w:type="auto"/>
          </w:tcPr>
          <w:p w:rsidR="00DD34E9" w:rsidRDefault="00E10245" w:rsidP="002540BE">
            <w:pPr>
              <w:autoSpaceDN w:val="0"/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- 20</w:t>
            </w:r>
            <w:r>
              <w:rPr>
                <w:color w:val="000000"/>
                <w:szCs w:val="28"/>
                <w:lang w:val="en-US"/>
              </w:rPr>
              <w:t>21</w:t>
            </w:r>
            <w:r>
              <w:rPr>
                <w:color w:val="000000"/>
                <w:szCs w:val="28"/>
              </w:rPr>
              <w:t>-202</w:t>
            </w:r>
            <w:r>
              <w:rPr>
                <w:color w:val="000000"/>
                <w:szCs w:val="28"/>
                <w:lang w:val="en-US"/>
              </w:rPr>
              <w:t>5</w:t>
            </w:r>
            <w:r w:rsidR="00DD34E9">
              <w:rPr>
                <w:color w:val="000000"/>
                <w:szCs w:val="28"/>
              </w:rPr>
              <w:t xml:space="preserve"> годы.</w:t>
            </w:r>
          </w:p>
        </w:tc>
      </w:tr>
      <w:tr w:rsidR="00DD34E9" w:rsidTr="002540BE">
        <w:trPr>
          <w:trHeight w:val="1701"/>
        </w:trPr>
        <w:tc>
          <w:tcPr>
            <w:tcW w:w="3369" w:type="dxa"/>
          </w:tcPr>
          <w:p w:rsidR="00DD34E9" w:rsidRDefault="00DD34E9" w:rsidP="002540B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Объём  </w:t>
            </w:r>
            <w:proofErr w:type="gramStart"/>
            <w:r>
              <w:rPr>
                <w:color w:val="000000"/>
                <w:szCs w:val="28"/>
              </w:rPr>
              <w:t>бюджетных</w:t>
            </w:r>
            <w:proofErr w:type="gramEnd"/>
            <w:r>
              <w:rPr>
                <w:color w:val="000000"/>
                <w:szCs w:val="28"/>
              </w:rPr>
              <w:t xml:space="preserve"> </w:t>
            </w:r>
          </w:p>
          <w:p w:rsidR="00DD34E9" w:rsidRDefault="00DD34E9" w:rsidP="002540B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ассигнований                               </w:t>
            </w:r>
          </w:p>
        </w:tc>
        <w:tc>
          <w:tcPr>
            <w:tcW w:w="0" w:type="auto"/>
          </w:tcPr>
          <w:p w:rsidR="00DD34E9" w:rsidRPr="00F71AA3" w:rsidRDefault="00DD34E9" w:rsidP="002540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71AA3">
              <w:rPr>
                <w:rFonts w:ascii="Times New Roman" w:hAnsi="Times New Roman" w:cs="Times New Roman"/>
                <w:sz w:val="28"/>
                <w:szCs w:val="28"/>
              </w:rPr>
              <w:t>- объем финансирова</w:t>
            </w:r>
            <w:r w:rsidR="004A1008">
              <w:rPr>
                <w:rFonts w:ascii="Times New Roman" w:hAnsi="Times New Roman" w:cs="Times New Roman"/>
                <w:sz w:val="28"/>
                <w:szCs w:val="28"/>
              </w:rPr>
              <w:t>ния Программы всего составляет 4</w:t>
            </w:r>
            <w:r w:rsidR="009A6B96">
              <w:rPr>
                <w:rFonts w:ascii="Times New Roman" w:hAnsi="Times New Roman" w:cs="Times New Roman"/>
                <w:sz w:val="28"/>
                <w:szCs w:val="28"/>
              </w:rPr>
              <w:t>64,1</w:t>
            </w:r>
            <w:r w:rsidRPr="00F71A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том ч</w:t>
            </w:r>
            <w:r w:rsidR="004A1008">
              <w:rPr>
                <w:rFonts w:ascii="Times New Roman" w:hAnsi="Times New Roman" w:cs="Times New Roman"/>
                <w:sz w:val="28"/>
                <w:szCs w:val="28"/>
              </w:rPr>
              <w:t>исле из  областного бюджета 363,0</w:t>
            </w:r>
            <w:r w:rsidRPr="00F71AA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9A6B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1AA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9A6B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71AA3">
              <w:rPr>
                <w:rFonts w:ascii="Times New Roman" w:hAnsi="Times New Roman" w:cs="Times New Roman"/>
                <w:sz w:val="28"/>
                <w:szCs w:val="28"/>
              </w:rPr>
              <w:t>, местного бюджета</w:t>
            </w:r>
            <w:r w:rsidR="004A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6B9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4A10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A6B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71A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</w:t>
            </w:r>
          </w:p>
          <w:p w:rsidR="00DD34E9" w:rsidRDefault="00DD34E9" w:rsidP="002540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71AA3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E10245" w:rsidRPr="00E10245" w:rsidRDefault="00E10245" w:rsidP="002540BE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A6B96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9A6B96" w:rsidRPr="009A6B9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6B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6B96" w:rsidRPr="009A6B96"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  <w:r w:rsidR="009A6B96" w:rsidRPr="00F71A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</w:t>
            </w:r>
            <w:r w:rsidR="009A6B96">
              <w:rPr>
                <w:rFonts w:ascii="Times New Roman" w:hAnsi="Times New Roman" w:cs="Times New Roman"/>
                <w:sz w:val="28"/>
                <w:szCs w:val="28"/>
              </w:rPr>
              <w:t>м числе местный бюджет 16,3</w:t>
            </w:r>
            <w:r w:rsidR="009A6B96" w:rsidRPr="00F71A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D34E9" w:rsidRPr="00F71AA3" w:rsidRDefault="00E10245" w:rsidP="002540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  <w:r w:rsidR="00DD34E9" w:rsidRPr="00F71A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всего 21,2</w:t>
            </w:r>
            <w:r w:rsidR="00DD34E9" w:rsidRPr="00F71A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числе местный бюджет 21,2</w:t>
            </w:r>
            <w:r w:rsidR="00DD34E9" w:rsidRPr="00F71A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D34E9" w:rsidRPr="00F71AA3" w:rsidRDefault="00E10245" w:rsidP="002540B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  <w:r w:rsidR="00DD34E9" w:rsidRPr="00F71A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 w:rsidR="00DD34E9" w:rsidRPr="00F71AA3">
              <w:rPr>
                <w:rFonts w:ascii="Times New Roman" w:hAnsi="Times New Roman" w:cs="Times New Roman"/>
                <w:sz w:val="28"/>
                <w:szCs w:val="28"/>
              </w:rPr>
              <w:t xml:space="preserve"> - всего </w:t>
            </w:r>
            <w:r w:rsidRPr="00E10245">
              <w:rPr>
                <w:rFonts w:ascii="Times New Roman" w:hAnsi="Times New Roman" w:cs="Times New Roman"/>
                <w:sz w:val="28"/>
                <w:szCs w:val="28"/>
              </w:rPr>
              <w:t>21.2</w:t>
            </w:r>
            <w:r w:rsidR="00DD34E9" w:rsidRPr="00F71A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местный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1024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DD34E9" w:rsidRPr="00F71A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D34E9" w:rsidRDefault="00E10245" w:rsidP="002540BE">
            <w:pPr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 w:rsidRPr="00E10245">
              <w:rPr>
                <w:rFonts w:eastAsia="Times New Roman"/>
                <w:b/>
                <w:color w:val="000000"/>
                <w:szCs w:val="28"/>
              </w:rPr>
              <w:t>2024 год</w:t>
            </w:r>
            <w:r>
              <w:rPr>
                <w:rFonts w:eastAsia="Times New Roman"/>
                <w:color w:val="000000"/>
                <w:szCs w:val="28"/>
              </w:rPr>
              <w:t xml:space="preserve"> – всего 384,2 тыс. руб., в том числе областной бюджет</w:t>
            </w:r>
            <w:r w:rsidR="004A1008">
              <w:rPr>
                <w:rFonts w:eastAsia="Times New Roman"/>
                <w:color w:val="000000"/>
                <w:szCs w:val="28"/>
              </w:rPr>
              <w:t xml:space="preserve"> 363,0, </w:t>
            </w:r>
            <w:r>
              <w:rPr>
                <w:rFonts w:eastAsia="Times New Roman"/>
                <w:color w:val="000000"/>
                <w:szCs w:val="28"/>
              </w:rPr>
              <w:t>местный бюджет 21,2 тыс. руб.,</w:t>
            </w:r>
          </w:p>
          <w:p w:rsidR="00E10245" w:rsidRPr="00E10245" w:rsidRDefault="00E10245" w:rsidP="002540BE">
            <w:pPr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  <w:r w:rsidRPr="00E10245">
              <w:rPr>
                <w:rFonts w:eastAsia="Times New Roman"/>
                <w:b/>
                <w:color w:val="000000"/>
                <w:szCs w:val="28"/>
              </w:rPr>
              <w:t>2025 год</w:t>
            </w:r>
            <w:r>
              <w:rPr>
                <w:rFonts w:eastAsia="Times New Roman"/>
                <w:color w:val="000000"/>
                <w:szCs w:val="28"/>
              </w:rPr>
              <w:t xml:space="preserve"> –</w:t>
            </w:r>
            <w:r w:rsidR="004A1008">
              <w:rPr>
                <w:rFonts w:eastAsia="Times New Roman"/>
                <w:color w:val="000000"/>
                <w:szCs w:val="28"/>
              </w:rPr>
              <w:t xml:space="preserve"> 21,2</w:t>
            </w:r>
            <w:r>
              <w:rPr>
                <w:rFonts w:eastAsia="Times New Roman"/>
                <w:color w:val="000000"/>
                <w:szCs w:val="28"/>
              </w:rPr>
              <w:t xml:space="preserve"> тыс. руб., в том числе местный бюджет 21,2 тыс. руб.</w:t>
            </w:r>
          </w:p>
          <w:p w:rsidR="00DD34E9" w:rsidRDefault="00DD34E9" w:rsidP="002540BE">
            <w:pPr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</w:p>
          <w:p w:rsidR="00DD34E9" w:rsidRDefault="00DD34E9" w:rsidP="002540BE">
            <w:pPr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</w:p>
          <w:p w:rsidR="00DD34E9" w:rsidRDefault="00DD34E9" w:rsidP="002540BE">
            <w:pPr>
              <w:spacing w:line="240" w:lineRule="auto"/>
              <w:jc w:val="both"/>
              <w:rPr>
                <w:rFonts w:eastAsia="Times New Roman"/>
                <w:color w:val="000000"/>
                <w:szCs w:val="28"/>
              </w:rPr>
            </w:pPr>
          </w:p>
        </w:tc>
      </w:tr>
    </w:tbl>
    <w:p w:rsidR="00355E33" w:rsidRDefault="00355E33"/>
    <w:sectPr w:rsidR="00355E33" w:rsidSect="00355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D34E9"/>
    <w:rsid w:val="0018151A"/>
    <w:rsid w:val="00355E33"/>
    <w:rsid w:val="00365C4E"/>
    <w:rsid w:val="004A1008"/>
    <w:rsid w:val="009A6B96"/>
    <w:rsid w:val="00AA7487"/>
    <w:rsid w:val="00DD34E9"/>
    <w:rsid w:val="00E10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4E9"/>
    <w:pPr>
      <w:spacing w:line="27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D34E9"/>
    <w:pPr>
      <w:widowControl w:val="0"/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</cp:revision>
  <dcterms:created xsi:type="dcterms:W3CDTF">2017-11-22T08:54:00Z</dcterms:created>
  <dcterms:modified xsi:type="dcterms:W3CDTF">2021-11-15T12:05:00Z</dcterms:modified>
</cp:coreProperties>
</file>